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A6" w:rsidRPr="00CF2F9C" w:rsidRDefault="005A47A6" w:rsidP="0085395A">
      <w:pPr>
        <w:rPr>
          <w:b/>
          <w:sz w:val="24"/>
          <w:szCs w:val="24"/>
          <w:lang w:val="nl-NL"/>
        </w:rPr>
      </w:pPr>
      <w:r w:rsidRPr="00CF2F9C">
        <w:rPr>
          <w:b/>
          <w:sz w:val="24"/>
          <w:szCs w:val="24"/>
          <w:lang w:val="nl-NL"/>
        </w:rPr>
        <w:t xml:space="preserve">NGÂN HÀNG NHÀ NƯỚC               </w:t>
      </w:r>
      <w:r>
        <w:rPr>
          <w:b/>
          <w:sz w:val="24"/>
          <w:szCs w:val="24"/>
          <w:lang w:val="nl-NL"/>
        </w:rPr>
        <w:t xml:space="preserve">   </w:t>
      </w:r>
      <w:r w:rsidRPr="00CF2F9C">
        <w:rPr>
          <w:b/>
          <w:sz w:val="24"/>
          <w:szCs w:val="24"/>
          <w:lang w:val="nl-NL"/>
        </w:rPr>
        <w:t xml:space="preserve"> CỘNG HOÀ XÃ HỘI </w:t>
      </w:r>
      <w:r>
        <w:rPr>
          <w:b/>
          <w:sz w:val="24"/>
          <w:szCs w:val="24"/>
          <w:lang w:val="nl-NL"/>
        </w:rPr>
        <w:t>C</w:t>
      </w:r>
      <w:r w:rsidRPr="00CF2F9C">
        <w:rPr>
          <w:b/>
          <w:sz w:val="24"/>
          <w:szCs w:val="24"/>
          <w:lang w:val="nl-NL"/>
        </w:rPr>
        <w:t xml:space="preserve">HỦ NGHĨA VIỆT NAM </w:t>
      </w:r>
    </w:p>
    <w:p w:rsidR="005A47A6" w:rsidRPr="00CF2F9C" w:rsidRDefault="005A47A6" w:rsidP="0085395A">
      <w:pPr>
        <w:rPr>
          <w:lang w:val="nl-NL"/>
        </w:rPr>
      </w:pPr>
      <w:r w:rsidRPr="00CF2F9C">
        <w:rPr>
          <w:b/>
          <w:sz w:val="24"/>
          <w:szCs w:val="24"/>
          <w:lang w:val="nl-NL"/>
        </w:rPr>
        <w:t xml:space="preserve">             VIỆT NAM</w:t>
      </w:r>
      <w:r w:rsidRPr="00CF2F9C">
        <w:rPr>
          <w:sz w:val="24"/>
          <w:szCs w:val="24"/>
          <w:lang w:val="nl-NL"/>
        </w:rPr>
        <w:t xml:space="preserve">                                </w:t>
      </w:r>
      <w:r>
        <w:rPr>
          <w:sz w:val="24"/>
          <w:szCs w:val="24"/>
          <w:lang w:val="nl-NL"/>
        </w:rPr>
        <w:t xml:space="preserve"> </w:t>
      </w:r>
      <w:r w:rsidRPr="00CF2F9C">
        <w:rPr>
          <w:sz w:val="24"/>
          <w:szCs w:val="24"/>
          <w:lang w:val="nl-NL"/>
        </w:rPr>
        <w:t xml:space="preserve">              </w:t>
      </w:r>
      <w:r w:rsidRPr="00CF2F9C">
        <w:rPr>
          <w:b/>
          <w:lang w:val="nl-NL"/>
        </w:rPr>
        <w:t>Độc lập - Tự do - Hạnh phúc</w:t>
      </w:r>
    </w:p>
    <w:p w:rsidR="005A47A6" w:rsidRPr="00CF2F9C" w:rsidRDefault="00EF036B" w:rsidP="0085395A">
      <w:pPr>
        <w:rPr>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3188335</wp:posOffset>
                </wp:positionH>
                <wp:positionV relativeFrom="paragraph">
                  <wp:posOffset>24130</wp:posOffset>
                </wp:positionV>
                <wp:extent cx="1898650" cy="0"/>
                <wp:effectExtent l="10795" t="9525" r="508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1D6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05pt,1.9pt" to="40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K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524510</wp:posOffset>
                </wp:positionH>
                <wp:positionV relativeFrom="paragraph">
                  <wp:posOffset>20955</wp:posOffset>
                </wp:positionV>
                <wp:extent cx="74295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6E9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1.65pt" to="9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cm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"/>
            </w:pict>
          </mc:Fallback>
        </mc:AlternateContent>
      </w:r>
      <w:r w:rsidR="005A47A6" w:rsidRPr="00CF2F9C">
        <w:rPr>
          <w:lang w:val="nl-NL"/>
        </w:rPr>
        <w:t xml:space="preserve">              </w:t>
      </w:r>
    </w:p>
    <w:p w:rsidR="005A47A6" w:rsidRPr="00CF2F9C" w:rsidRDefault="005A47A6" w:rsidP="0085395A">
      <w:pPr>
        <w:rPr>
          <w:i/>
          <w:lang w:val="nl-NL"/>
        </w:rPr>
      </w:pPr>
      <w:r w:rsidRPr="00CF2F9C">
        <w:rPr>
          <w:lang w:val="nl-NL"/>
        </w:rPr>
        <w:t xml:space="preserve">Số: </w:t>
      </w:r>
      <w:r w:rsidR="00A416EE">
        <w:rPr>
          <w:lang w:val="nl-NL"/>
        </w:rPr>
        <w:t>21</w:t>
      </w:r>
      <w:r w:rsidRPr="00CF2F9C">
        <w:rPr>
          <w:lang w:val="nl-NL"/>
        </w:rPr>
        <w:t>/201</w:t>
      </w:r>
      <w:r>
        <w:rPr>
          <w:lang w:val="nl-NL"/>
        </w:rPr>
        <w:t>7</w:t>
      </w:r>
      <w:r w:rsidRPr="00CF2F9C">
        <w:rPr>
          <w:lang w:val="nl-NL"/>
        </w:rPr>
        <w:t xml:space="preserve">/TT- NHNN             </w:t>
      </w:r>
      <w:r>
        <w:rPr>
          <w:lang w:val="nl-NL"/>
        </w:rPr>
        <w:t xml:space="preserve">  </w:t>
      </w:r>
      <w:r w:rsidRPr="00CF2F9C">
        <w:rPr>
          <w:lang w:val="nl-NL"/>
        </w:rPr>
        <w:t xml:space="preserve">          </w:t>
      </w:r>
      <w:r>
        <w:rPr>
          <w:lang w:val="nl-NL"/>
        </w:rPr>
        <w:t xml:space="preserve"> </w:t>
      </w:r>
      <w:r w:rsidR="00A416EE">
        <w:rPr>
          <w:lang w:val="nl-NL"/>
        </w:rPr>
        <w:t xml:space="preserve">     </w:t>
      </w:r>
      <w:r w:rsidRPr="00CF2F9C">
        <w:rPr>
          <w:i/>
          <w:lang w:val="nl-NL"/>
        </w:rPr>
        <w:t xml:space="preserve">Hà Nội, ngày </w:t>
      </w:r>
      <w:r w:rsidR="00A416EE">
        <w:rPr>
          <w:i/>
          <w:lang w:val="nl-NL"/>
        </w:rPr>
        <w:t>29</w:t>
      </w:r>
      <w:r w:rsidRPr="00CF2F9C">
        <w:rPr>
          <w:i/>
          <w:lang w:val="nl-NL"/>
        </w:rPr>
        <w:t xml:space="preserve"> tháng </w:t>
      </w:r>
      <w:r w:rsidR="00A416EE">
        <w:rPr>
          <w:i/>
          <w:lang w:val="nl-NL"/>
        </w:rPr>
        <w:t>12</w:t>
      </w:r>
      <w:r>
        <w:rPr>
          <w:i/>
          <w:lang w:val="nl-NL"/>
        </w:rPr>
        <w:t xml:space="preserve"> </w:t>
      </w:r>
      <w:r w:rsidRPr="00CF2F9C">
        <w:rPr>
          <w:i/>
          <w:lang w:val="nl-NL"/>
        </w:rPr>
        <w:t>năm 201</w:t>
      </w:r>
      <w:r>
        <w:rPr>
          <w:i/>
          <w:lang w:val="nl-NL"/>
        </w:rPr>
        <w:t>7</w:t>
      </w:r>
    </w:p>
    <w:p w:rsidR="005A47A6" w:rsidRPr="00CF2F9C" w:rsidRDefault="005A47A6" w:rsidP="0085395A">
      <w:pPr>
        <w:rPr>
          <w:rFonts w:ascii="12" w:hAnsi="12"/>
          <w:sz w:val="24"/>
          <w:szCs w:val="24"/>
          <w:lang w:val="nl-NL"/>
        </w:rPr>
      </w:pPr>
    </w:p>
    <w:p w:rsidR="005A47A6" w:rsidRPr="00CF2F9C" w:rsidRDefault="005A47A6" w:rsidP="005A47A6">
      <w:pPr>
        <w:jc w:val="center"/>
        <w:rPr>
          <w:rFonts w:ascii="12" w:hAnsi="12"/>
          <w:b/>
          <w:lang w:val="nl-NL"/>
        </w:rPr>
      </w:pPr>
      <w:r w:rsidRPr="00CF2F9C">
        <w:rPr>
          <w:rFonts w:ascii="12" w:hAnsi="12"/>
          <w:b/>
          <w:lang w:val="nl-NL"/>
        </w:rPr>
        <w:t>THÔNG TƯ</w:t>
      </w:r>
    </w:p>
    <w:p w:rsidR="007E74A8" w:rsidRDefault="00066AE2" w:rsidP="00066AE2">
      <w:pPr>
        <w:pStyle w:val="Tieudephu"/>
        <w:spacing w:after="0"/>
        <w:rPr>
          <w:rFonts w:ascii="Times New Roman" w:hAnsi="Times New Roman"/>
          <w:sz w:val="28"/>
          <w:szCs w:val="28"/>
          <w:lang w:val="en-US"/>
        </w:rPr>
      </w:pPr>
      <w:r>
        <w:rPr>
          <w:rFonts w:ascii="Times New Roman" w:hAnsi="Times New Roman"/>
          <w:sz w:val="28"/>
          <w:szCs w:val="28"/>
          <w:lang w:val="en-US"/>
        </w:rPr>
        <w:t>Quy định về phương thức giải ngân vốn cho vay</w:t>
      </w:r>
    </w:p>
    <w:p w:rsidR="007E74A8" w:rsidRDefault="009702BC" w:rsidP="00066AE2">
      <w:pPr>
        <w:pStyle w:val="Tieudephu"/>
        <w:spacing w:after="0"/>
        <w:rPr>
          <w:rFonts w:ascii="Times New Roman" w:hAnsi="Times New Roman"/>
          <w:sz w:val="28"/>
          <w:szCs w:val="28"/>
          <w:lang w:val="en-US"/>
        </w:rPr>
      </w:pPr>
      <w:r>
        <w:rPr>
          <w:rFonts w:ascii="Times New Roman" w:hAnsi="Times New Roman"/>
          <w:sz w:val="28"/>
          <w:szCs w:val="28"/>
          <w:lang w:val="en-US"/>
        </w:rPr>
        <w:t xml:space="preserve"> </w:t>
      </w:r>
      <w:r w:rsidR="00066AE2">
        <w:rPr>
          <w:rFonts w:ascii="Times New Roman" w:hAnsi="Times New Roman"/>
          <w:sz w:val="28"/>
          <w:szCs w:val="28"/>
          <w:lang w:val="en-US"/>
        </w:rPr>
        <w:t>của tổ chức tín dụng,</w:t>
      </w:r>
      <w:r w:rsidR="00931C33">
        <w:rPr>
          <w:rFonts w:ascii="Times New Roman" w:hAnsi="Times New Roman"/>
          <w:sz w:val="28"/>
          <w:szCs w:val="28"/>
          <w:lang w:val="en-US"/>
        </w:rPr>
        <w:t xml:space="preserve"> </w:t>
      </w:r>
      <w:r w:rsidR="00066AE2">
        <w:rPr>
          <w:rFonts w:ascii="Times New Roman" w:hAnsi="Times New Roman"/>
          <w:sz w:val="28"/>
          <w:szCs w:val="28"/>
          <w:lang w:val="en-US"/>
        </w:rPr>
        <w:t>chi nhánh ngân hàng</w:t>
      </w:r>
      <w:r w:rsidR="00BB7389">
        <w:rPr>
          <w:rFonts w:ascii="Times New Roman" w:hAnsi="Times New Roman"/>
          <w:sz w:val="28"/>
          <w:szCs w:val="28"/>
          <w:lang w:val="en-US"/>
        </w:rPr>
        <w:t xml:space="preserve"> </w:t>
      </w:r>
    </w:p>
    <w:p w:rsidR="00066AE2" w:rsidRDefault="00066AE2" w:rsidP="00066AE2">
      <w:pPr>
        <w:pStyle w:val="Tieudephu"/>
        <w:spacing w:after="0"/>
        <w:rPr>
          <w:rFonts w:ascii="Times New Roman" w:hAnsi="Times New Roman"/>
          <w:sz w:val="28"/>
          <w:szCs w:val="28"/>
          <w:lang w:val="en-US"/>
        </w:rPr>
      </w:pPr>
      <w:r>
        <w:rPr>
          <w:rFonts w:ascii="Times New Roman" w:hAnsi="Times New Roman"/>
          <w:sz w:val="28"/>
          <w:szCs w:val="28"/>
          <w:lang w:val="en-US"/>
        </w:rPr>
        <w:t>nước ngoài</w:t>
      </w:r>
      <w:r w:rsidR="00931C33">
        <w:rPr>
          <w:rFonts w:ascii="Times New Roman" w:hAnsi="Times New Roman"/>
          <w:sz w:val="28"/>
          <w:szCs w:val="28"/>
          <w:lang w:val="en-US"/>
        </w:rPr>
        <w:t xml:space="preserve"> </w:t>
      </w:r>
      <w:r>
        <w:rPr>
          <w:rFonts w:ascii="Times New Roman" w:hAnsi="Times New Roman"/>
          <w:sz w:val="28"/>
          <w:szCs w:val="28"/>
          <w:lang w:val="en-US"/>
        </w:rPr>
        <w:t>đối với khách hàng</w:t>
      </w:r>
    </w:p>
    <w:p w:rsidR="005A47A6" w:rsidRPr="00CF2F9C" w:rsidRDefault="00EF036B" w:rsidP="005A47A6">
      <w:pPr>
        <w:ind w:firstLine="560"/>
        <w:jc w:val="both"/>
        <w:rPr>
          <w:lang w:val="nl-NL"/>
        </w:rPr>
      </w:pPr>
      <w:r>
        <w:rPr>
          <w:noProof/>
        </w:rPr>
        <mc:AlternateContent>
          <mc:Choice Requires="wps">
            <w:drawing>
              <wp:anchor distT="0" distB="0" distL="114300" distR="114300" simplePos="0" relativeHeight="251658752" behindDoc="0" locked="0" layoutInCell="1" allowOverlap="1">
                <wp:simplePos x="0" y="0"/>
                <wp:positionH relativeFrom="column">
                  <wp:posOffset>2222500</wp:posOffset>
                </wp:positionH>
                <wp:positionV relativeFrom="paragraph">
                  <wp:posOffset>46990</wp:posOffset>
                </wp:positionV>
                <wp:extent cx="1600200" cy="0"/>
                <wp:effectExtent l="6985" t="5715" r="1206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DD3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7pt" to="3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v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"/>
            </w:pict>
          </mc:Fallback>
        </mc:AlternateContent>
      </w:r>
    </w:p>
    <w:p w:rsidR="002703F1" w:rsidRDefault="005A47A6" w:rsidP="00BB7389">
      <w:pPr>
        <w:spacing w:before="120" w:after="120"/>
        <w:ind w:firstLine="561"/>
        <w:jc w:val="both"/>
        <w:rPr>
          <w:i/>
          <w:lang w:val="nl-NL"/>
        </w:rPr>
      </w:pPr>
      <w:r w:rsidRPr="00CF2F9C">
        <w:rPr>
          <w:i/>
          <w:lang w:val="nl-NL"/>
        </w:rPr>
        <w:t xml:space="preserve">Căn cứ Luật Ngân hàng Nhà nước Việt Nam ngày 16 tháng 6 năm 2010;  </w:t>
      </w:r>
    </w:p>
    <w:p w:rsidR="00A01D41" w:rsidRDefault="005A47A6">
      <w:pPr>
        <w:spacing w:before="120" w:after="120"/>
        <w:ind w:firstLine="561"/>
        <w:jc w:val="both"/>
        <w:rPr>
          <w:i/>
          <w:lang w:val="nl-NL"/>
        </w:rPr>
      </w:pPr>
      <w:r w:rsidRPr="00CF2F9C">
        <w:rPr>
          <w:i/>
          <w:lang w:val="nl-NL"/>
        </w:rPr>
        <w:t>Căn cứ Luật Các tổ chức tín dụng ngày 16 tháng 6 năm 2010</w:t>
      </w:r>
      <w:r w:rsidR="0096235A">
        <w:rPr>
          <w:i/>
          <w:lang w:val="nl-NL"/>
        </w:rPr>
        <w:t xml:space="preserve"> và</w:t>
      </w:r>
      <w:r w:rsidR="004B075C">
        <w:rPr>
          <w:i/>
          <w:lang w:val="nl-NL"/>
        </w:rPr>
        <w:t xml:space="preserve"> </w:t>
      </w:r>
      <w:r w:rsidR="009242F9">
        <w:rPr>
          <w:i/>
          <w:lang w:val="nl-NL"/>
        </w:rPr>
        <w:t>Luật sửa đổi, bổ sung một số Điều của Luật Các tổ chức tín dụng ngày 20 tháng 11 năm 2017;</w:t>
      </w:r>
    </w:p>
    <w:p w:rsidR="00A01D41" w:rsidRDefault="005A47A6">
      <w:pPr>
        <w:spacing w:before="120" w:after="120"/>
        <w:ind w:firstLine="561"/>
        <w:jc w:val="both"/>
        <w:rPr>
          <w:i/>
          <w:lang w:val="nl-NL"/>
        </w:rPr>
      </w:pPr>
      <w:r w:rsidRPr="0053156B">
        <w:rPr>
          <w:i/>
          <w:lang w:val="nl-NL"/>
        </w:rPr>
        <w:t>Căn cứ Nghị định số 101/2012/NĐ-CP ngày 22 tháng 11 năm 2012 của Chính phủ về thanh toán không dùng tiền mặt</w:t>
      </w:r>
      <w:r w:rsidR="0096235A">
        <w:rPr>
          <w:i/>
          <w:lang w:val="nl-NL"/>
        </w:rPr>
        <w:t xml:space="preserve"> và</w:t>
      </w:r>
      <w:r w:rsidR="009242F9" w:rsidRPr="009242F9">
        <w:rPr>
          <w:i/>
          <w:lang w:val="nl-NL"/>
        </w:rPr>
        <w:t xml:space="preserve"> </w:t>
      </w:r>
      <w:r w:rsidR="009242F9" w:rsidRPr="0053156B">
        <w:rPr>
          <w:i/>
          <w:lang w:val="nl-NL"/>
        </w:rPr>
        <w:t>Nghị định số 80/2016/NĐ-CP ngày 01 tháng 7 năm 2016 của Chính phủ sửa đổi, bổ sung một số điều của Nghị định số 101/2012/NĐ-CP ngày 22 tháng 11 năm 2012 của Chính phủ về thanh toán không dùng tiền mặt;</w:t>
      </w:r>
    </w:p>
    <w:p w:rsidR="00A01D41" w:rsidRDefault="005A47A6">
      <w:pPr>
        <w:spacing w:before="120" w:after="120"/>
        <w:ind w:firstLine="561"/>
        <w:jc w:val="both"/>
        <w:rPr>
          <w:i/>
          <w:lang w:val="nl-NL"/>
        </w:rPr>
      </w:pPr>
      <w:r w:rsidRPr="0053156B">
        <w:rPr>
          <w:i/>
          <w:lang w:val="nl-NL"/>
        </w:rPr>
        <w:t>Căn cứ Nghị định số 222/2013/NĐ-CP ngày 31 tháng 12 năm 2013 của Chính phủ về thanh toán bằng tiền mặt;</w:t>
      </w:r>
    </w:p>
    <w:p w:rsidR="00A01D41" w:rsidRDefault="005A47A6">
      <w:pPr>
        <w:spacing w:before="120" w:after="120"/>
        <w:ind w:firstLine="561"/>
        <w:jc w:val="both"/>
        <w:rPr>
          <w:i/>
          <w:lang w:val="nl-NL"/>
        </w:rPr>
      </w:pPr>
      <w:r w:rsidRPr="0053156B">
        <w:rPr>
          <w:i/>
          <w:lang w:val="nl-NL"/>
        </w:rPr>
        <w:t>Căn cứ Nghị định số 16/2017/NĐ-CP ngày 17 tháng 02 năm 2017 của Chính phủ quy định chức năng, nhiệm vụ, quyền hạn và cơ cấu tổ chức của Ngân hàng Nhà nước Việt Nam;</w:t>
      </w:r>
    </w:p>
    <w:p w:rsidR="00A01D41" w:rsidRDefault="005A47A6">
      <w:pPr>
        <w:spacing w:before="120" w:after="120"/>
        <w:ind w:firstLine="561"/>
        <w:jc w:val="both"/>
        <w:rPr>
          <w:i/>
          <w:lang w:val="nl-NL"/>
        </w:rPr>
      </w:pPr>
      <w:r>
        <w:rPr>
          <w:i/>
          <w:lang w:val="nl-NL"/>
        </w:rPr>
        <w:t>Theo</w:t>
      </w:r>
      <w:r w:rsidRPr="00CF2F9C">
        <w:rPr>
          <w:i/>
          <w:lang w:val="nl-NL"/>
        </w:rPr>
        <w:t xml:space="preserve"> đề nghị của Vụ trưởng Vụ Chính sách tiền tệ;</w:t>
      </w:r>
    </w:p>
    <w:p w:rsidR="00A01D41" w:rsidRDefault="005A47A6">
      <w:pPr>
        <w:spacing w:before="120" w:after="120"/>
        <w:ind w:firstLine="561"/>
        <w:jc w:val="both"/>
        <w:rPr>
          <w:i/>
          <w:lang w:val="nl-NL"/>
        </w:rPr>
      </w:pPr>
      <w:r w:rsidRPr="00CF2F9C">
        <w:rPr>
          <w:i/>
          <w:lang w:val="nl-NL"/>
        </w:rPr>
        <w:t>Thống đốc Ngân hàng Nhà nước Việt Nam ban hành Thông tư quy định về</w:t>
      </w:r>
      <w:r>
        <w:rPr>
          <w:i/>
          <w:lang w:val="nl-NL"/>
        </w:rPr>
        <w:t xml:space="preserve"> </w:t>
      </w:r>
      <w:r w:rsidR="00D765A6" w:rsidRPr="00D765A6">
        <w:rPr>
          <w:i/>
          <w:lang w:val="nl-NL"/>
        </w:rPr>
        <w:t xml:space="preserve"> phương thức</w:t>
      </w:r>
      <w:r w:rsidRPr="000E47F0">
        <w:rPr>
          <w:i/>
          <w:lang w:val="vi-VN"/>
        </w:rPr>
        <w:t xml:space="preserve"> giải ngân vốn cho vay của tổ chức tín dụng, chi nhánh ngân hàng nước ngoài đối với khách hàng.</w:t>
      </w:r>
    </w:p>
    <w:p w:rsidR="00A01D41" w:rsidRDefault="005A47A6" w:rsidP="007E74A8">
      <w:pPr>
        <w:spacing w:before="100" w:after="100"/>
        <w:ind w:firstLine="567"/>
        <w:jc w:val="both"/>
        <w:rPr>
          <w:b/>
        </w:rPr>
      </w:pPr>
      <w:r>
        <w:rPr>
          <w:b/>
        </w:rPr>
        <w:t>Điều 1. Phạm vi điều chỉnh</w:t>
      </w:r>
    </w:p>
    <w:p w:rsidR="00A01D41" w:rsidRDefault="009242F9" w:rsidP="007E74A8">
      <w:pPr>
        <w:spacing w:before="100" w:after="100"/>
        <w:ind w:firstLine="567"/>
        <w:jc w:val="both"/>
      </w:pPr>
      <w:r>
        <w:t>1.</w:t>
      </w:r>
      <w:r w:rsidR="005A47A6">
        <w:t xml:space="preserve"> </w:t>
      </w:r>
      <w:r w:rsidR="005A47A6" w:rsidRPr="00382632">
        <w:t xml:space="preserve">Thông tư này </w:t>
      </w:r>
      <w:r w:rsidR="005A47A6">
        <w:t>quy định</w:t>
      </w:r>
      <w:r>
        <w:t xml:space="preserve"> về </w:t>
      </w:r>
      <w:r w:rsidRPr="009242F9">
        <w:t>phương thức</w:t>
      </w:r>
      <w:r w:rsidRPr="009242F9">
        <w:rPr>
          <w:lang w:val="vi-VN"/>
        </w:rPr>
        <w:t xml:space="preserve"> giải ngân vốn cho vay </w:t>
      </w:r>
      <w:r>
        <w:t>bao gồm</w:t>
      </w:r>
      <w:r w:rsidR="005A47A6" w:rsidRPr="009242F9">
        <w:t xml:space="preserve"> </w:t>
      </w:r>
      <w:r w:rsidR="005A47A6">
        <w:t xml:space="preserve">việc </w:t>
      </w:r>
      <w:r w:rsidR="005A47A6" w:rsidRPr="008E630D">
        <w:t xml:space="preserve">sử dụng </w:t>
      </w:r>
      <w:r w:rsidR="005A47A6">
        <w:t>dịch vụ</w:t>
      </w:r>
      <w:r w:rsidR="005A47A6" w:rsidRPr="008E630D">
        <w:t xml:space="preserve"> thanh toán</w:t>
      </w:r>
      <w:r w:rsidR="005A47A6">
        <w:t xml:space="preserve"> không dùng tiền mặt, bằng tiền mặt</w:t>
      </w:r>
      <w:r w:rsidR="005A47A6" w:rsidRPr="008E630D">
        <w:t xml:space="preserve"> </w:t>
      </w:r>
      <w:r w:rsidR="005A47A6">
        <w:t xml:space="preserve">để </w:t>
      </w:r>
      <w:r w:rsidR="005A47A6" w:rsidRPr="00331505">
        <w:t>giải ngân vốn cho vay của tổ chức tín dụng, chi nhánh ngân hàng nước ngoài đối với khách hàng</w:t>
      </w:r>
      <w:r w:rsidR="00410503">
        <w:t>.</w:t>
      </w:r>
    </w:p>
    <w:p w:rsidR="00A01D41" w:rsidRDefault="009242F9" w:rsidP="007E74A8">
      <w:pPr>
        <w:spacing w:before="100" w:after="100"/>
        <w:ind w:firstLine="567"/>
        <w:jc w:val="both"/>
      </w:pPr>
      <w:r>
        <w:t>2.</w:t>
      </w:r>
      <w:r w:rsidR="005A47A6">
        <w:t xml:space="preserve"> Thông tư này không điều chỉnh việc giải ngân vốn cho vay của ngân hàng chính sách.</w:t>
      </w:r>
    </w:p>
    <w:p w:rsidR="00A01D41" w:rsidRDefault="009242F9" w:rsidP="007E74A8">
      <w:pPr>
        <w:spacing w:before="100" w:after="100"/>
        <w:ind w:firstLine="567"/>
        <w:jc w:val="both"/>
        <w:rPr>
          <w:b/>
        </w:rPr>
      </w:pPr>
      <w:r w:rsidRPr="009242F9">
        <w:rPr>
          <w:b/>
        </w:rPr>
        <w:t xml:space="preserve">Điều </w:t>
      </w:r>
      <w:r w:rsidR="005A47A6" w:rsidRPr="009242F9">
        <w:rPr>
          <w:b/>
        </w:rPr>
        <w:t>2. Đối tượng áp dụng</w:t>
      </w:r>
    </w:p>
    <w:p w:rsidR="00A827C8" w:rsidRDefault="00A827C8" w:rsidP="007E74A8">
      <w:pPr>
        <w:spacing w:before="100" w:after="100"/>
        <w:ind w:firstLine="567"/>
        <w:jc w:val="both"/>
        <w:rPr>
          <w:bCs/>
          <w:lang w:val="pl-PL"/>
        </w:rPr>
        <w:sectPr w:rsidR="00A827C8" w:rsidSect="00771D94">
          <w:footerReference w:type="even" r:id="rId8"/>
          <w:footerReference w:type="default" r:id="rId9"/>
          <w:pgSz w:w="11907" w:h="16840" w:code="9"/>
          <w:pgMar w:top="1134" w:right="1134" w:bottom="1134" w:left="1701" w:header="720" w:footer="499" w:gutter="0"/>
          <w:cols w:space="720"/>
          <w:docGrid w:linePitch="360"/>
        </w:sectPr>
      </w:pPr>
    </w:p>
    <w:p w:rsidR="00A01D41" w:rsidRDefault="009242F9" w:rsidP="007E74A8">
      <w:pPr>
        <w:spacing w:before="100" w:after="100"/>
        <w:ind w:firstLine="567"/>
        <w:jc w:val="both"/>
        <w:rPr>
          <w:bCs/>
          <w:lang w:val="pl-PL"/>
        </w:rPr>
      </w:pPr>
      <w:r>
        <w:rPr>
          <w:bCs/>
          <w:lang w:val="pl-PL"/>
        </w:rPr>
        <w:lastRenderedPageBreak/>
        <w:t>1.</w:t>
      </w:r>
      <w:r w:rsidR="005A47A6" w:rsidRPr="00105171">
        <w:rPr>
          <w:bCs/>
          <w:lang w:val="pl-PL"/>
        </w:rPr>
        <w:t xml:space="preserve"> </w:t>
      </w:r>
      <w:r w:rsidR="005A47A6">
        <w:rPr>
          <w:bCs/>
          <w:lang w:val="pl-PL"/>
        </w:rPr>
        <w:t>T</w:t>
      </w:r>
      <w:r w:rsidR="005A47A6" w:rsidRPr="00331505">
        <w:rPr>
          <w:bCs/>
          <w:lang w:val="pl-PL"/>
        </w:rPr>
        <w:t>ổ chức tín dụng</w:t>
      </w:r>
      <w:r w:rsidR="005A47A6">
        <w:rPr>
          <w:bCs/>
          <w:lang w:val="pl-PL"/>
        </w:rPr>
        <w:t>, chi nhánh ngân hàng nước ngoài thực hiện</w:t>
      </w:r>
      <w:r w:rsidR="005A47A6" w:rsidRPr="00331505">
        <w:rPr>
          <w:bCs/>
          <w:lang w:val="pl-PL"/>
        </w:rPr>
        <w:t xml:space="preserve"> hoạt động cho vay theo quy định của</w:t>
      </w:r>
      <w:r w:rsidR="005A47A6">
        <w:rPr>
          <w:bCs/>
          <w:lang w:val="pl-PL"/>
        </w:rPr>
        <w:t xml:space="preserve"> </w:t>
      </w:r>
      <w:r w:rsidR="005A47A6">
        <w:rPr>
          <w:color w:val="000000"/>
          <w:lang w:val="pl-PL"/>
        </w:rPr>
        <w:t>Ngân hàng Nhà nước Việt Nam</w:t>
      </w:r>
      <w:r w:rsidR="005A47A6" w:rsidRPr="001118D3">
        <w:rPr>
          <w:color w:val="000000"/>
          <w:lang w:val="pl-PL"/>
        </w:rPr>
        <w:t xml:space="preserve"> </w:t>
      </w:r>
      <w:r w:rsidR="005A47A6" w:rsidRPr="00682314">
        <w:rPr>
          <w:bCs/>
          <w:lang w:val="pl-PL"/>
        </w:rPr>
        <w:t>(</w:t>
      </w:r>
      <w:r w:rsidR="005A47A6" w:rsidRPr="00682314">
        <w:rPr>
          <w:color w:val="000000"/>
          <w:lang w:val="pl-PL"/>
        </w:rPr>
        <w:t>sau đây gọi là tổ chức tín dụng</w:t>
      </w:r>
      <w:r w:rsidR="002F288D" w:rsidRPr="00682314">
        <w:rPr>
          <w:color w:val="000000"/>
          <w:lang w:val="pl-PL"/>
        </w:rPr>
        <w:t xml:space="preserve"> cho vay</w:t>
      </w:r>
      <w:r w:rsidR="005A47A6" w:rsidRPr="00682314">
        <w:rPr>
          <w:color w:val="000000"/>
          <w:lang w:val="pl-PL"/>
        </w:rPr>
        <w:t>)</w:t>
      </w:r>
      <w:r w:rsidR="005A47A6">
        <w:rPr>
          <w:bCs/>
          <w:lang w:val="pl-PL"/>
        </w:rPr>
        <w:t>.</w:t>
      </w:r>
    </w:p>
    <w:p w:rsidR="0095577B" w:rsidRDefault="0095577B" w:rsidP="007E74A8">
      <w:pPr>
        <w:spacing w:before="100" w:after="100"/>
        <w:ind w:firstLine="567"/>
        <w:jc w:val="both"/>
        <w:rPr>
          <w:bCs/>
          <w:lang w:val="pl-PL"/>
        </w:rPr>
        <w:sectPr w:rsidR="0095577B" w:rsidSect="00A827C8">
          <w:headerReference w:type="default" r:id="rId10"/>
          <w:type w:val="continuous"/>
          <w:pgSz w:w="11907" w:h="16840" w:code="9"/>
          <w:pgMar w:top="1134" w:right="1134" w:bottom="1021" w:left="1701" w:header="720" w:footer="499" w:gutter="0"/>
          <w:pgNumType w:start="2"/>
          <w:cols w:space="720"/>
          <w:docGrid w:linePitch="360"/>
        </w:sectPr>
      </w:pPr>
    </w:p>
    <w:p w:rsidR="00A01D41" w:rsidRDefault="009242F9" w:rsidP="007E74A8">
      <w:pPr>
        <w:spacing w:before="100" w:after="100"/>
        <w:ind w:firstLine="567"/>
        <w:jc w:val="both"/>
        <w:rPr>
          <w:bCs/>
          <w:lang w:val="pl-PL"/>
        </w:rPr>
      </w:pPr>
      <w:r>
        <w:rPr>
          <w:bCs/>
          <w:lang w:val="pl-PL"/>
        </w:rPr>
        <w:lastRenderedPageBreak/>
        <w:t>2.</w:t>
      </w:r>
      <w:r w:rsidR="005A47A6" w:rsidRPr="00105171">
        <w:rPr>
          <w:bCs/>
          <w:lang w:val="pl-PL"/>
        </w:rPr>
        <w:t xml:space="preserve"> </w:t>
      </w:r>
      <w:r w:rsidR="005A47A6">
        <w:rPr>
          <w:bCs/>
          <w:lang w:val="pl-PL"/>
        </w:rPr>
        <w:t>Khách hàng vay vốn tại tổ chức tín dụng</w:t>
      </w:r>
      <w:r w:rsidR="00094BEF">
        <w:rPr>
          <w:bCs/>
          <w:lang w:val="pl-PL"/>
        </w:rPr>
        <w:t>, chi nhánh ngân hàng nước ngoài</w:t>
      </w:r>
      <w:r w:rsidR="005A47A6">
        <w:rPr>
          <w:bCs/>
          <w:lang w:val="pl-PL"/>
        </w:rPr>
        <w:t xml:space="preserve"> </w:t>
      </w:r>
      <w:r w:rsidR="005A47A6" w:rsidRPr="00682314">
        <w:rPr>
          <w:bCs/>
          <w:lang w:val="pl-PL"/>
        </w:rPr>
        <w:t>(</w:t>
      </w:r>
      <w:r w:rsidR="005A47A6" w:rsidRPr="00682314">
        <w:rPr>
          <w:lang w:val="pl-PL"/>
        </w:rPr>
        <w:t>sau đây gọi là khách hàng)</w:t>
      </w:r>
      <w:r w:rsidR="005A47A6" w:rsidRPr="00D2707A">
        <w:rPr>
          <w:lang w:val="pl-PL"/>
        </w:rPr>
        <w:t>.</w:t>
      </w:r>
    </w:p>
    <w:p w:rsidR="0051069F" w:rsidRDefault="0051069F" w:rsidP="007E74A8">
      <w:pPr>
        <w:spacing w:before="100" w:after="100"/>
        <w:ind w:firstLine="567"/>
        <w:jc w:val="both"/>
        <w:rPr>
          <w:bCs/>
          <w:lang w:val="pl-PL"/>
        </w:rPr>
        <w:sectPr w:rsidR="0051069F" w:rsidSect="00A827C8">
          <w:headerReference w:type="default" r:id="rId11"/>
          <w:type w:val="continuous"/>
          <w:pgSz w:w="11907" w:h="16840" w:code="9"/>
          <w:pgMar w:top="1134" w:right="1134" w:bottom="1021" w:left="1701" w:header="720" w:footer="499" w:gutter="0"/>
          <w:pgNumType w:start="2"/>
          <w:cols w:space="720"/>
          <w:docGrid w:linePitch="360"/>
        </w:sectPr>
      </w:pPr>
    </w:p>
    <w:p w:rsidR="00A01D41" w:rsidRDefault="009242F9" w:rsidP="007E74A8">
      <w:pPr>
        <w:spacing w:before="100" w:after="100"/>
        <w:ind w:firstLine="567"/>
        <w:jc w:val="both"/>
        <w:rPr>
          <w:bCs/>
          <w:lang w:val="pl-PL"/>
        </w:rPr>
      </w:pPr>
      <w:r>
        <w:rPr>
          <w:bCs/>
          <w:lang w:val="pl-PL"/>
        </w:rPr>
        <w:lastRenderedPageBreak/>
        <w:t>3.</w:t>
      </w:r>
      <w:r w:rsidR="005A47A6">
        <w:rPr>
          <w:bCs/>
          <w:lang w:val="pl-PL"/>
        </w:rPr>
        <w:t xml:space="preserve"> Bên thụ hưởng.</w:t>
      </w:r>
    </w:p>
    <w:p w:rsidR="00102644" w:rsidRDefault="00102644" w:rsidP="007E74A8">
      <w:pPr>
        <w:spacing w:before="100" w:after="100"/>
        <w:ind w:firstLine="567"/>
        <w:jc w:val="both"/>
        <w:rPr>
          <w:bCs/>
          <w:lang w:val="pl-PL"/>
        </w:rPr>
        <w:sectPr w:rsidR="00102644" w:rsidSect="0095577B">
          <w:headerReference w:type="default" r:id="rId12"/>
          <w:type w:val="continuous"/>
          <w:pgSz w:w="11907" w:h="16840" w:code="9"/>
          <w:pgMar w:top="668" w:right="1134" w:bottom="1021" w:left="1701" w:header="567" w:footer="499" w:gutter="0"/>
          <w:pgNumType w:start="2"/>
          <w:cols w:space="720"/>
          <w:docGrid w:linePitch="381"/>
        </w:sectPr>
      </w:pPr>
    </w:p>
    <w:p w:rsidR="00A01D41" w:rsidRDefault="009242F9" w:rsidP="007E74A8">
      <w:pPr>
        <w:spacing w:before="100" w:after="100"/>
        <w:ind w:firstLine="567"/>
        <w:jc w:val="both"/>
        <w:rPr>
          <w:bCs/>
          <w:lang w:val="pl-PL"/>
        </w:rPr>
      </w:pPr>
      <w:r>
        <w:rPr>
          <w:bCs/>
          <w:lang w:val="pl-PL"/>
        </w:rPr>
        <w:lastRenderedPageBreak/>
        <w:t>4.</w:t>
      </w:r>
      <w:r w:rsidR="005A47A6">
        <w:rPr>
          <w:bCs/>
          <w:lang w:val="pl-PL"/>
        </w:rPr>
        <w:t xml:space="preserve"> </w:t>
      </w:r>
      <w:r w:rsidR="002F288D">
        <w:rPr>
          <w:bCs/>
          <w:lang w:val="pl-PL"/>
        </w:rPr>
        <w:t>Tổ chức tín dụng, chi nhánh ngân hàng nước ngoài khác, t</w:t>
      </w:r>
      <w:r w:rsidR="005A47A6">
        <w:rPr>
          <w:bCs/>
          <w:lang w:val="pl-PL"/>
        </w:rPr>
        <w:t>ổ chức cung ứng dịch vụ thanh toán, tổ chức cung ứng dịch vụ trung gian thanh toán liên quan đến hoạt động cho vay của tổ chức tín dụng</w:t>
      </w:r>
      <w:r>
        <w:rPr>
          <w:bCs/>
          <w:lang w:val="pl-PL"/>
        </w:rPr>
        <w:t xml:space="preserve"> cho vay</w:t>
      </w:r>
      <w:r w:rsidR="005A47A6">
        <w:rPr>
          <w:bCs/>
          <w:lang w:val="pl-PL"/>
        </w:rPr>
        <w:t>.</w:t>
      </w:r>
    </w:p>
    <w:p w:rsidR="00A01D41" w:rsidRDefault="005A47A6" w:rsidP="007E74A8">
      <w:pPr>
        <w:pStyle w:val="Than"/>
        <w:spacing w:before="100" w:after="100"/>
        <w:rPr>
          <w:rFonts w:ascii="Times New Roman" w:hAnsi="Times New Roman"/>
          <w:b/>
          <w:bCs/>
          <w:sz w:val="28"/>
          <w:szCs w:val="28"/>
          <w:lang w:val="pl-PL"/>
        </w:rPr>
      </w:pPr>
      <w:r>
        <w:rPr>
          <w:rFonts w:ascii="Times New Roman" w:hAnsi="Times New Roman"/>
          <w:b/>
          <w:bCs/>
          <w:sz w:val="28"/>
          <w:szCs w:val="28"/>
          <w:lang w:val="pl-PL"/>
        </w:rPr>
        <w:t xml:space="preserve">Điều </w:t>
      </w:r>
      <w:r w:rsidR="0095577B">
        <w:rPr>
          <w:rFonts w:ascii="Times New Roman" w:hAnsi="Times New Roman"/>
          <w:b/>
          <w:bCs/>
          <w:sz w:val="28"/>
          <w:szCs w:val="28"/>
          <w:lang w:val="pl-PL"/>
        </w:rPr>
        <w:t>3</w:t>
      </w:r>
      <w:r>
        <w:rPr>
          <w:rFonts w:ascii="Times New Roman" w:hAnsi="Times New Roman"/>
          <w:b/>
          <w:bCs/>
          <w:sz w:val="28"/>
          <w:szCs w:val="28"/>
          <w:lang w:val="pl-PL"/>
        </w:rPr>
        <w:t>. Giải thích từ ngữ</w:t>
      </w:r>
    </w:p>
    <w:p w:rsidR="00A01D41" w:rsidRDefault="005A47A6" w:rsidP="007E74A8">
      <w:pPr>
        <w:pStyle w:val="Than"/>
        <w:spacing w:before="100" w:after="100"/>
        <w:rPr>
          <w:rFonts w:ascii="Times New Roman" w:hAnsi="Times New Roman"/>
          <w:bCs/>
          <w:sz w:val="28"/>
          <w:szCs w:val="28"/>
          <w:lang w:val="pl-PL"/>
        </w:rPr>
      </w:pPr>
      <w:r w:rsidRPr="007D4C52">
        <w:rPr>
          <w:rFonts w:ascii="Times New Roman" w:hAnsi="Times New Roman"/>
          <w:bCs/>
          <w:sz w:val="28"/>
          <w:szCs w:val="28"/>
          <w:lang w:val="pl-PL"/>
        </w:rPr>
        <w:t>Trong Thông tư này, các từ ngữ dưới đây được hiểu như sau:</w:t>
      </w:r>
    </w:p>
    <w:p w:rsidR="002703F1" w:rsidRDefault="00B51625" w:rsidP="007E74A8">
      <w:pPr>
        <w:pStyle w:val="Than"/>
        <w:spacing w:before="100" w:after="100"/>
        <w:rPr>
          <w:rFonts w:ascii="Times New Roman" w:hAnsi="Times New Roman"/>
          <w:bCs/>
          <w:sz w:val="28"/>
          <w:szCs w:val="28"/>
          <w:lang w:val="pl-PL"/>
        </w:rPr>
      </w:pPr>
      <w:r w:rsidRPr="00590937">
        <w:rPr>
          <w:rFonts w:ascii="Times New Roman" w:hAnsi="Times New Roman"/>
          <w:bCs/>
          <w:sz w:val="28"/>
          <w:szCs w:val="28"/>
          <w:lang w:val="pl-PL"/>
        </w:rPr>
        <w:t>1.</w:t>
      </w:r>
      <w:r w:rsidRPr="00590937">
        <w:rPr>
          <w:rFonts w:ascii="Times New Roman" w:hAnsi="Times New Roman"/>
          <w:b/>
          <w:bCs/>
          <w:sz w:val="28"/>
          <w:szCs w:val="28"/>
          <w:lang w:val="pl-PL"/>
        </w:rPr>
        <w:t xml:space="preserve"> </w:t>
      </w:r>
      <w:r w:rsidRPr="00590937">
        <w:rPr>
          <w:rFonts w:ascii="Times New Roman" w:hAnsi="Times New Roman"/>
          <w:bCs/>
          <w:sz w:val="28"/>
          <w:szCs w:val="28"/>
          <w:lang w:val="pl-PL"/>
        </w:rPr>
        <w:t xml:space="preserve">Bên thụ hưởng là pháp nhân, cá nhân, </w:t>
      </w:r>
      <w:r w:rsidRPr="00590937">
        <w:rPr>
          <w:rFonts w:ascii="Times New Roman" w:hAnsi="Times New Roman"/>
          <w:bCs/>
          <w:sz w:val="28"/>
          <w:szCs w:val="28"/>
          <w:lang w:val="pt-BR"/>
        </w:rPr>
        <w:t>hộ gia đình, tổ hợp tác và tổ chức khác không có tư cách pháp nhân</w:t>
      </w:r>
      <w:r w:rsidRPr="00590937">
        <w:rPr>
          <w:rFonts w:ascii="Times New Roman" w:hAnsi="Times New Roman"/>
          <w:bCs/>
          <w:sz w:val="28"/>
          <w:szCs w:val="28"/>
          <w:lang w:val="pl-PL"/>
        </w:rPr>
        <w:t xml:space="preserve"> có quyền thụ hưởng các khoản thanh toán, chi trả từ khách hàng trong việc mua bán tài sản, hình thành nên tài sản, cung ứng dịch vụ và các quan hệ hợp pháp khác, thuộc nhu cầu vay vốn theo thỏa thuận cho vay được ký kết giữa khách hàng với tổ chức tín dụng cho vay (sau đây gọi là thỏa thuận cho vay).</w:t>
      </w:r>
    </w:p>
    <w:p w:rsidR="00A01D41" w:rsidRDefault="005A47A6" w:rsidP="007E74A8">
      <w:pPr>
        <w:pStyle w:val="NormalWeb"/>
        <w:spacing w:beforeAutospacing="0" w:afterAutospacing="0"/>
        <w:ind w:firstLine="540"/>
        <w:jc w:val="both"/>
        <w:rPr>
          <w:bCs/>
          <w:sz w:val="28"/>
          <w:szCs w:val="28"/>
          <w:lang w:val="pl-PL"/>
        </w:rPr>
      </w:pPr>
      <w:r w:rsidRPr="00A82631">
        <w:rPr>
          <w:bCs/>
          <w:sz w:val="28"/>
          <w:szCs w:val="28"/>
          <w:lang w:val="pl-PL"/>
        </w:rPr>
        <w:t>2.</w:t>
      </w:r>
      <w:r w:rsidRPr="00A82631">
        <w:rPr>
          <w:b/>
          <w:bCs/>
          <w:sz w:val="28"/>
          <w:szCs w:val="28"/>
          <w:lang w:val="pl-PL"/>
        </w:rPr>
        <w:t xml:space="preserve"> </w:t>
      </w:r>
      <w:r w:rsidRPr="00A82631">
        <w:rPr>
          <w:bCs/>
          <w:sz w:val="28"/>
          <w:szCs w:val="28"/>
          <w:lang w:val="pl-PL"/>
        </w:rPr>
        <w:t>Giải ngân vốn cho vay l</w:t>
      </w:r>
      <w:r>
        <w:rPr>
          <w:bCs/>
          <w:sz w:val="28"/>
          <w:szCs w:val="28"/>
          <w:lang w:val="pl-PL"/>
        </w:rPr>
        <w:t xml:space="preserve">à việc tổ chức tín dụng </w:t>
      </w:r>
      <w:r w:rsidR="00551611">
        <w:rPr>
          <w:bCs/>
          <w:sz w:val="28"/>
          <w:szCs w:val="28"/>
          <w:lang w:val="pl-PL"/>
        </w:rPr>
        <w:t xml:space="preserve">cho vay </w:t>
      </w:r>
      <w:r>
        <w:rPr>
          <w:bCs/>
          <w:sz w:val="28"/>
          <w:szCs w:val="28"/>
          <w:lang w:val="pl-PL"/>
        </w:rPr>
        <w:t xml:space="preserve">giao cho khách hàng một khoản tiền thông qua </w:t>
      </w:r>
      <w:r w:rsidR="00D765A6" w:rsidRPr="00D765A6">
        <w:rPr>
          <w:bCs/>
          <w:sz w:val="28"/>
          <w:szCs w:val="28"/>
          <w:lang w:val="pl-PL"/>
        </w:rPr>
        <w:t>việc sử dụng dịch vụ thanh toán không dùng tiền mặt, bằng tiền mặt</w:t>
      </w:r>
      <w:r>
        <w:rPr>
          <w:bCs/>
          <w:sz w:val="28"/>
          <w:szCs w:val="28"/>
          <w:lang w:val="pl-PL"/>
        </w:rPr>
        <w:t xml:space="preserve"> để thanh toán, chi trả cho bên thụ hưởng theo mục đích vay vốn ghi </w:t>
      </w:r>
      <w:r w:rsidRPr="0053156B">
        <w:rPr>
          <w:bCs/>
          <w:sz w:val="28"/>
          <w:szCs w:val="28"/>
          <w:lang w:val="pl-PL"/>
        </w:rPr>
        <w:t xml:space="preserve">trong </w:t>
      </w:r>
      <w:r w:rsidR="00D765A6" w:rsidRPr="00D765A6">
        <w:rPr>
          <w:bCs/>
          <w:sz w:val="28"/>
          <w:szCs w:val="28"/>
          <w:lang w:val="pl-PL"/>
        </w:rPr>
        <w:t>thỏa thuận cho vay</w:t>
      </w:r>
      <w:r>
        <w:rPr>
          <w:bCs/>
          <w:sz w:val="28"/>
          <w:szCs w:val="28"/>
          <w:lang w:val="pl-PL"/>
        </w:rPr>
        <w:t>.</w:t>
      </w:r>
    </w:p>
    <w:p w:rsidR="00A01D41" w:rsidRDefault="00044E18" w:rsidP="007E74A8">
      <w:pPr>
        <w:pStyle w:val="NormalWeb"/>
        <w:spacing w:beforeAutospacing="0" w:afterAutospacing="0"/>
        <w:ind w:firstLine="540"/>
        <w:jc w:val="both"/>
        <w:rPr>
          <w:bCs/>
          <w:sz w:val="28"/>
          <w:szCs w:val="28"/>
          <w:lang w:val="pl-PL"/>
        </w:rPr>
      </w:pPr>
      <w:r>
        <w:rPr>
          <w:bCs/>
          <w:sz w:val="28"/>
          <w:szCs w:val="28"/>
          <w:lang w:val="pl-PL"/>
        </w:rPr>
        <w:t xml:space="preserve">3. Quản lý tài chính tập trung là việc khách hàng sử dụng </w:t>
      </w:r>
      <w:r w:rsidRPr="006371C9">
        <w:rPr>
          <w:bCs/>
          <w:sz w:val="28"/>
          <w:szCs w:val="28"/>
          <w:lang w:val="pl-PL"/>
        </w:rPr>
        <w:t>dịch vụ</w:t>
      </w:r>
      <w:r w:rsidR="00B50ADA">
        <w:rPr>
          <w:bCs/>
          <w:sz w:val="28"/>
          <w:szCs w:val="28"/>
          <w:lang w:val="pl-PL"/>
        </w:rPr>
        <w:t xml:space="preserve"> thanh toán</w:t>
      </w:r>
      <w:r w:rsidR="004A508B" w:rsidRPr="006371C9">
        <w:rPr>
          <w:bCs/>
          <w:sz w:val="28"/>
          <w:szCs w:val="28"/>
          <w:lang w:val="pl-PL"/>
        </w:rPr>
        <w:t xml:space="preserve"> qua tài khoản</w:t>
      </w:r>
      <w:r>
        <w:rPr>
          <w:bCs/>
          <w:sz w:val="28"/>
          <w:szCs w:val="28"/>
          <w:lang w:val="pl-PL"/>
        </w:rPr>
        <w:t xml:space="preserve"> </w:t>
      </w:r>
      <w:r w:rsidR="004A508B">
        <w:rPr>
          <w:bCs/>
          <w:sz w:val="28"/>
          <w:szCs w:val="28"/>
          <w:lang w:val="pl-PL"/>
        </w:rPr>
        <w:t>tại</w:t>
      </w:r>
      <w:r>
        <w:rPr>
          <w:bCs/>
          <w:sz w:val="28"/>
          <w:szCs w:val="28"/>
          <w:lang w:val="pl-PL"/>
        </w:rPr>
        <w:t xml:space="preserve"> tổ chức tín dụng, chi nhánh ngân hàng nước ngoài để quản lý dòng</w:t>
      </w:r>
      <w:r w:rsidR="002A0657">
        <w:rPr>
          <w:bCs/>
          <w:sz w:val="28"/>
          <w:szCs w:val="28"/>
          <w:lang w:val="pl-PL"/>
        </w:rPr>
        <w:t xml:space="preserve"> vốn</w:t>
      </w:r>
      <w:r w:rsidR="001C2A73">
        <w:rPr>
          <w:bCs/>
          <w:sz w:val="28"/>
          <w:szCs w:val="28"/>
          <w:lang w:val="pl-PL"/>
        </w:rPr>
        <w:t xml:space="preserve"> của mình.</w:t>
      </w:r>
      <w:r w:rsidR="000C4974">
        <w:rPr>
          <w:bCs/>
          <w:sz w:val="28"/>
          <w:szCs w:val="28"/>
          <w:lang w:val="pl-PL"/>
        </w:rPr>
        <w:t xml:space="preserve"> </w:t>
      </w:r>
    </w:p>
    <w:p w:rsidR="00A01D41" w:rsidRDefault="0087769F" w:rsidP="007E74A8">
      <w:pPr>
        <w:pStyle w:val="NormalWeb"/>
        <w:spacing w:beforeAutospacing="0" w:afterAutospacing="0"/>
        <w:ind w:firstLine="540"/>
        <w:jc w:val="both"/>
        <w:rPr>
          <w:bCs/>
          <w:sz w:val="28"/>
          <w:szCs w:val="28"/>
          <w:lang w:val="pl-PL"/>
        </w:rPr>
      </w:pPr>
      <w:r>
        <w:rPr>
          <w:bCs/>
          <w:sz w:val="28"/>
          <w:szCs w:val="28"/>
          <w:lang w:val="pl-PL"/>
        </w:rPr>
        <w:t>4. T</w:t>
      </w:r>
      <w:r w:rsidRPr="000C4974">
        <w:rPr>
          <w:bCs/>
          <w:sz w:val="28"/>
          <w:szCs w:val="28"/>
          <w:lang w:val="pl-PL"/>
        </w:rPr>
        <w:t>ổ chức tín dụng quản lý tài chính</w:t>
      </w:r>
      <w:r>
        <w:rPr>
          <w:bCs/>
          <w:sz w:val="28"/>
          <w:szCs w:val="28"/>
          <w:lang w:val="pl-PL"/>
        </w:rPr>
        <w:t xml:space="preserve"> là t</w:t>
      </w:r>
      <w:r w:rsidR="000C4974" w:rsidRPr="000C4974">
        <w:rPr>
          <w:bCs/>
          <w:sz w:val="28"/>
          <w:szCs w:val="28"/>
          <w:lang w:val="pl-PL"/>
        </w:rPr>
        <w:t>ổ chức tín dụng, chi nhánh ngân hàng nước ngoài thực hiện dịch vụ quản lý tài chính tập trung cho khách hàng</w:t>
      </w:r>
      <w:r w:rsidR="000C4974">
        <w:rPr>
          <w:bCs/>
          <w:sz w:val="28"/>
          <w:szCs w:val="28"/>
          <w:lang w:val="pl-PL"/>
        </w:rPr>
        <w:t>.</w:t>
      </w:r>
    </w:p>
    <w:p w:rsidR="00A01D41" w:rsidRDefault="005A47A6" w:rsidP="007E74A8">
      <w:pPr>
        <w:pStyle w:val="NormalWeb"/>
        <w:spacing w:beforeAutospacing="0" w:afterAutospacing="0"/>
        <w:ind w:firstLine="540"/>
        <w:jc w:val="both"/>
        <w:rPr>
          <w:b/>
          <w:sz w:val="28"/>
          <w:szCs w:val="28"/>
          <w:lang w:val="pt-BR"/>
        </w:rPr>
      </w:pPr>
      <w:r w:rsidRPr="008C0D2C">
        <w:rPr>
          <w:b/>
          <w:sz w:val="28"/>
          <w:szCs w:val="28"/>
          <w:lang w:val="pt-BR"/>
        </w:rPr>
        <w:t xml:space="preserve">Điều </w:t>
      </w:r>
      <w:r w:rsidR="0095577B">
        <w:rPr>
          <w:b/>
          <w:sz w:val="28"/>
          <w:szCs w:val="28"/>
          <w:lang w:val="pt-BR"/>
        </w:rPr>
        <w:t>4</w:t>
      </w:r>
      <w:r w:rsidRPr="008C0D2C">
        <w:rPr>
          <w:b/>
          <w:sz w:val="28"/>
          <w:szCs w:val="28"/>
          <w:lang w:val="pt-BR"/>
        </w:rPr>
        <w:t>.</w:t>
      </w:r>
      <w:r>
        <w:rPr>
          <w:b/>
          <w:sz w:val="28"/>
          <w:szCs w:val="28"/>
          <w:lang w:val="pt-BR"/>
        </w:rPr>
        <w:t xml:space="preserve"> </w:t>
      </w:r>
      <w:r w:rsidR="0087769F">
        <w:rPr>
          <w:b/>
          <w:sz w:val="28"/>
          <w:szCs w:val="28"/>
          <w:lang w:val="pt-BR"/>
        </w:rPr>
        <w:t>Phương thức g</w:t>
      </w:r>
      <w:r w:rsidR="0087769F" w:rsidRPr="0053156B">
        <w:rPr>
          <w:b/>
          <w:sz w:val="28"/>
          <w:szCs w:val="28"/>
          <w:lang w:val="pt-BR"/>
        </w:rPr>
        <w:t xml:space="preserve">iải ngân vốn </w:t>
      </w:r>
      <w:r w:rsidR="0087769F">
        <w:rPr>
          <w:b/>
          <w:sz w:val="28"/>
          <w:szCs w:val="28"/>
          <w:lang w:val="pt-BR"/>
        </w:rPr>
        <w:t xml:space="preserve">cho </w:t>
      </w:r>
      <w:r w:rsidR="0087769F" w:rsidRPr="0053156B">
        <w:rPr>
          <w:b/>
          <w:sz w:val="28"/>
          <w:szCs w:val="28"/>
          <w:lang w:val="pt-BR"/>
        </w:rPr>
        <w:t>vay</w:t>
      </w:r>
      <w:r w:rsidR="0087769F" w:rsidDel="0099239B">
        <w:rPr>
          <w:b/>
          <w:sz w:val="28"/>
          <w:szCs w:val="28"/>
          <w:lang w:val="pt-BR"/>
        </w:rPr>
        <w:t xml:space="preserve"> </w:t>
      </w:r>
      <w:r w:rsidR="0087769F">
        <w:rPr>
          <w:b/>
          <w:sz w:val="28"/>
          <w:szCs w:val="28"/>
          <w:lang w:val="pt-BR"/>
        </w:rPr>
        <w:t>s</w:t>
      </w:r>
      <w:r w:rsidR="0069076C" w:rsidRPr="0069076C">
        <w:rPr>
          <w:b/>
          <w:bCs/>
          <w:sz w:val="28"/>
          <w:szCs w:val="28"/>
          <w:lang w:val="pl-PL"/>
        </w:rPr>
        <w:t>ử dụng dịch vụ thanh toán không dùng tiền mặt</w:t>
      </w:r>
      <w:r>
        <w:rPr>
          <w:b/>
          <w:sz w:val="28"/>
          <w:szCs w:val="28"/>
          <w:lang w:val="pt-BR"/>
        </w:rPr>
        <w:t xml:space="preserve"> </w:t>
      </w:r>
    </w:p>
    <w:p w:rsidR="00A01D41" w:rsidRDefault="005A47A6" w:rsidP="007E74A8">
      <w:pPr>
        <w:spacing w:before="100" w:after="100"/>
        <w:ind w:firstLine="540"/>
        <w:jc w:val="both"/>
        <w:rPr>
          <w:lang w:val="pt-BR"/>
        </w:rPr>
      </w:pPr>
      <w:r w:rsidRPr="0053156B">
        <w:rPr>
          <w:bCs/>
          <w:lang w:val="pt-BR"/>
        </w:rPr>
        <w:t xml:space="preserve">1. </w:t>
      </w:r>
      <w:r w:rsidRPr="0053156B">
        <w:rPr>
          <w:lang w:val="pt-BR"/>
        </w:rPr>
        <w:t>Tổ chức tín dụng</w:t>
      </w:r>
      <w:r>
        <w:rPr>
          <w:lang w:val="pt-BR"/>
        </w:rPr>
        <w:t xml:space="preserve"> </w:t>
      </w:r>
      <w:r w:rsidR="00551611">
        <w:rPr>
          <w:lang w:val="pt-BR"/>
        </w:rPr>
        <w:t xml:space="preserve">cho vay </w:t>
      </w:r>
      <w:r>
        <w:rPr>
          <w:lang w:val="pt-BR"/>
        </w:rPr>
        <w:t>phải</w:t>
      </w:r>
      <w:r w:rsidRPr="0053156B">
        <w:rPr>
          <w:bCs/>
          <w:lang w:val="pl-PL"/>
        </w:rPr>
        <w:t xml:space="preserve"> sử dụng </w:t>
      </w:r>
      <w:r>
        <w:rPr>
          <w:bCs/>
          <w:lang w:val="pl-PL"/>
        </w:rPr>
        <w:t>dịch vụ</w:t>
      </w:r>
      <w:r w:rsidRPr="0053156B">
        <w:rPr>
          <w:bCs/>
          <w:lang w:val="pl-PL"/>
        </w:rPr>
        <w:t xml:space="preserve"> thanh toán không dùng tiền mặt </w:t>
      </w:r>
      <w:r w:rsidR="00D765A6" w:rsidRPr="00D765A6">
        <w:rPr>
          <w:lang w:val="pt-BR"/>
        </w:rPr>
        <w:t>theo quy định của pháp luật</w:t>
      </w:r>
      <w:r w:rsidRPr="002D634C">
        <w:rPr>
          <w:bCs/>
          <w:lang w:val="pl-PL"/>
        </w:rPr>
        <w:t xml:space="preserve"> </w:t>
      </w:r>
      <w:r w:rsidR="00FB3C8F" w:rsidRPr="0053156B">
        <w:rPr>
          <w:bCs/>
          <w:lang w:val="pl-PL"/>
        </w:rPr>
        <w:t xml:space="preserve">để giải ngân vốn cho vay </w:t>
      </w:r>
      <w:r w:rsidR="009242F9">
        <w:rPr>
          <w:bCs/>
          <w:lang w:val="pl-PL"/>
        </w:rPr>
        <w:t>vào tài khoản thanh toán của bên thụ hưởng tại tổ chức cung ứng dịch vụ thanh toán</w:t>
      </w:r>
      <w:r w:rsidR="006B76A8">
        <w:rPr>
          <w:bCs/>
          <w:lang w:val="pl-PL"/>
        </w:rPr>
        <w:t>, trừ</w:t>
      </w:r>
      <w:r w:rsidR="006B76A8" w:rsidRPr="006B76A8">
        <w:rPr>
          <w:bCs/>
          <w:lang w:val="pl-PL"/>
        </w:rPr>
        <w:t xml:space="preserve"> </w:t>
      </w:r>
      <w:r w:rsidR="006B76A8">
        <w:rPr>
          <w:bCs/>
          <w:lang w:val="pl-PL"/>
        </w:rPr>
        <w:t xml:space="preserve">trường hợp quy định tại khoản </w:t>
      </w:r>
      <w:r w:rsidR="000F2C39">
        <w:rPr>
          <w:bCs/>
          <w:lang w:val="pl-PL"/>
        </w:rPr>
        <w:t>2</w:t>
      </w:r>
      <w:r w:rsidR="006B76A8">
        <w:rPr>
          <w:bCs/>
          <w:lang w:val="pl-PL"/>
        </w:rPr>
        <w:t xml:space="preserve"> Điều này</w:t>
      </w:r>
      <w:r w:rsidR="000B7E31">
        <w:rPr>
          <w:bCs/>
          <w:lang w:val="pl-PL"/>
        </w:rPr>
        <w:t>.</w:t>
      </w:r>
      <w:r w:rsidR="001E5C75">
        <w:rPr>
          <w:bCs/>
          <w:lang w:val="pl-PL"/>
        </w:rPr>
        <w:t xml:space="preserve"> </w:t>
      </w:r>
      <w:r w:rsidR="0087769F">
        <w:rPr>
          <w:bCs/>
          <w:lang w:val="pl-PL"/>
        </w:rPr>
        <w:t xml:space="preserve">Việc chuyển </w:t>
      </w:r>
      <w:r w:rsidR="0087769F" w:rsidRPr="0053156B">
        <w:rPr>
          <w:bCs/>
          <w:lang w:val="pl-PL"/>
        </w:rPr>
        <w:t>số tiền giải ngân</w:t>
      </w:r>
      <w:r w:rsidR="0087769F">
        <w:rPr>
          <w:bCs/>
          <w:lang w:val="pl-PL"/>
        </w:rPr>
        <w:t xml:space="preserve"> vào tài khoản thanh toán của </w:t>
      </w:r>
      <w:r w:rsidR="0087769F" w:rsidRPr="0053156B">
        <w:rPr>
          <w:bCs/>
          <w:lang w:val="pl-PL"/>
        </w:rPr>
        <w:t xml:space="preserve">bên thụ hưởng </w:t>
      </w:r>
      <w:r w:rsidR="0087769F">
        <w:rPr>
          <w:bCs/>
          <w:lang w:val="pl-PL"/>
        </w:rPr>
        <w:t xml:space="preserve">tại tổ chức cung ứng dịch vụ thanh toán </w:t>
      </w:r>
      <w:r w:rsidR="00D765A6" w:rsidRPr="00D765A6">
        <w:rPr>
          <w:lang w:val="pl-PL"/>
        </w:rPr>
        <w:t>được tổ chức tín dụng cho vay thực hiện</w:t>
      </w:r>
      <w:r w:rsidR="0087769F">
        <w:rPr>
          <w:bCs/>
          <w:lang w:val="pl-PL"/>
        </w:rPr>
        <w:t xml:space="preserve"> ngay trong ngày giải ngân vốn vay</w:t>
      </w:r>
      <w:r w:rsidR="0087769F" w:rsidRPr="0053156B">
        <w:rPr>
          <w:lang w:val="pt-BR"/>
        </w:rPr>
        <w:t xml:space="preserve"> theo mục đích ghi trong </w:t>
      </w:r>
      <w:r w:rsidR="00D765A6" w:rsidRPr="00D765A6">
        <w:rPr>
          <w:lang w:val="pl-PL"/>
        </w:rPr>
        <w:t>thỏa thuận cho vay</w:t>
      </w:r>
      <w:r w:rsidR="00DA7498">
        <w:rPr>
          <w:lang w:val="pt-BR"/>
        </w:rPr>
        <w:t>;</w:t>
      </w:r>
      <w:r>
        <w:rPr>
          <w:lang w:val="pt-BR"/>
        </w:rPr>
        <w:t xml:space="preserve"> </w:t>
      </w:r>
      <w:r>
        <w:rPr>
          <w:bCs/>
          <w:lang w:val="pl-PL"/>
        </w:rPr>
        <w:t>t</w:t>
      </w:r>
      <w:r w:rsidRPr="0053156B">
        <w:rPr>
          <w:bCs/>
          <w:lang w:val="pl-PL"/>
        </w:rPr>
        <w:t>rường hợp</w:t>
      </w:r>
      <w:r w:rsidR="001D0C03">
        <w:rPr>
          <w:bCs/>
          <w:lang w:val="pl-PL"/>
        </w:rPr>
        <w:t xml:space="preserve"> việc giải ngân vốn vay</w:t>
      </w:r>
      <w:r w:rsidRPr="0053156B">
        <w:rPr>
          <w:bCs/>
          <w:lang w:val="pl-PL"/>
        </w:rPr>
        <w:t xml:space="preserve"> </w:t>
      </w:r>
      <w:r w:rsidR="009D4874">
        <w:rPr>
          <w:bCs/>
          <w:lang w:val="pl-PL"/>
        </w:rPr>
        <w:t>thực hiện sau</w:t>
      </w:r>
      <w:r w:rsidRPr="0053156B">
        <w:rPr>
          <w:bCs/>
          <w:lang w:val="pl-PL"/>
        </w:rPr>
        <w:t xml:space="preserve"> giờ giao dị</w:t>
      </w:r>
      <w:r w:rsidR="009D75D3">
        <w:rPr>
          <w:bCs/>
          <w:lang w:val="pl-PL"/>
        </w:rPr>
        <w:t>ch thanh toán trong ngày</w:t>
      </w:r>
      <w:r w:rsidRPr="0053156B">
        <w:rPr>
          <w:bCs/>
          <w:lang w:val="pl-PL"/>
        </w:rPr>
        <w:t xml:space="preserve"> </w:t>
      </w:r>
      <w:r w:rsidR="006371C9">
        <w:rPr>
          <w:bCs/>
          <w:lang w:val="pl-PL"/>
        </w:rPr>
        <w:t xml:space="preserve">của </w:t>
      </w:r>
      <w:r w:rsidR="009D4874">
        <w:rPr>
          <w:lang w:val="pt-BR"/>
        </w:rPr>
        <w:t>t</w:t>
      </w:r>
      <w:r w:rsidR="006371C9" w:rsidRPr="0053156B">
        <w:rPr>
          <w:lang w:val="pt-BR"/>
        </w:rPr>
        <w:t>ổ chức tín dụng</w:t>
      </w:r>
      <w:r w:rsidR="006371C9">
        <w:rPr>
          <w:lang w:val="pt-BR"/>
        </w:rPr>
        <w:t xml:space="preserve"> cho vay</w:t>
      </w:r>
      <w:r w:rsidR="006371C9" w:rsidRPr="0053156B">
        <w:rPr>
          <w:bCs/>
          <w:lang w:val="pl-PL"/>
        </w:rPr>
        <w:t xml:space="preserve"> </w:t>
      </w:r>
      <w:r w:rsidRPr="0053156B">
        <w:rPr>
          <w:bCs/>
          <w:lang w:val="pl-PL"/>
        </w:rPr>
        <w:t xml:space="preserve">thì việc chuyển tiền được thực hiện vào ngày làm việc tiếp theo </w:t>
      </w:r>
      <w:r>
        <w:rPr>
          <w:lang w:val="pt-BR"/>
        </w:rPr>
        <w:t>của tổ chức tín dụng</w:t>
      </w:r>
      <w:r w:rsidR="009D4874">
        <w:rPr>
          <w:lang w:val="pt-BR"/>
        </w:rPr>
        <w:t xml:space="preserve"> đó</w:t>
      </w:r>
      <w:r w:rsidR="005A0313">
        <w:rPr>
          <w:lang w:val="pt-BR"/>
        </w:rPr>
        <w:t>.</w:t>
      </w:r>
      <w:r>
        <w:rPr>
          <w:lang w:val="pt-BR"/>
        </w:rPr>
        <w:t xml:space="preserve"> </w:t>
      </w:r>
    </w:p>
    <w:p w:rsidR="00A01D41" w:rsidRDefault="000F2C39" w:rsidP="007E74A8">
      <w:pPr>
        <w:spacing w:before="100" w:after="100"/>
        <w:ind w:firstLine="540"/>
        <w:jc w:val="both"/>
        <w:rPr>
          <w:lang w:val="pl-PL"/>
        </w:rPr>
      </w:pPr>
      <w:r>
        <w:rPr>
          <w:lang w:val="pt-BR"/>
        </w:rPr>
        <w:t>2</w:t>
      </w:r>
      <w:r w:rsidR="0069076C" w:rsidRPr="00D2707A">
        <w:rPr>
          <w:lang w:val="pt-BR"/>
        </w:rPr>
        <w:t>. Tổ chức tín dụng</w:t>
      </w:r>
      <w:r w:rsidR="0069076C" w:rsidRPr="00D2707A">
        <w:rPr>
          <w:lang w:val="pl-PL"/>
        </w:rPr>
        <w:t xml:space="preserve"> </w:t>
      </w:r>
      <w:r w:rsidR="0069076C">
        <w:rPr>
          <w:lang w:val="pl-PL"/>
        </w:rPr>
        <w:t xml:space="preserve">cho vay </w:t>
      </w:r>
      <w:r w:rsidR="0087769F">
        <w:rPr>
          <w:lang w:val="pl-PL"/>
        </w:rPr>
        <w:t>phải</w:t>
      </w:r>
      <w:r w:rsidR="0069076C" w:rsidRPr="00D2707A">
        <w:rPr>
          <w:lang w:val="pl-PL"/>
        </w:rPr>
        <w:t xml:space="preserve"> </w:t>
      </w:r>
      <w:r w:rsidR="0069076C">
        <w:rPr>
          <w:bCs/>
          <w:lang w:val="pl-PL"/>
        </w:rPr>
        <w:t>sử dụng dịch vụ thanh toán không dùng tiền mặt</w:t>
      </w:r>
      <w:r w:rsidR="0069076C" w:rsidRPr="00D2707A">
        <w:rPr>
          <w:lang w:val="pl-PL"/>
        </w:rPr>
        <w:t xml:space="preserve"> </w:t>
      </w:r>
      <w:r w:rsidR="0069076C">
        <w:rPr>
          <w:lang w:val="pl-PL"/>
        </w:rPr>
        <w:t xml:space="preserve">để </w:t>
      </w:r>
      <w:r w:rsidR="0069076C" w:rsidRPr="00D2707A">
        <w:rPr>
          <w:lang w:val="pl-PL"/>
        </w:rPr>
        <w:t xml:space="preserve">giải ngân vốn cho vay vào tài khoản thanh toán của khách hàng </w:t>
      </w:r>
      <w:r w:rsidR="0069076C">
        <w:rPr>
          <w:lang w:val="pl-PL"/>
        </w:rPr>
        <w:t xml:space="preserve">tại tổ chức cung ứng dịch vụ thanh toán </w:t>
      </w:r>
      <w:r w:rsidR="0069076C" w:rsidRPr="00D2707A">
        <w:rPr>
          <w:lang w:val="pl-PL"/>
        </w:rPr>
        <w:t>trong các trường hợp:</w:t>
      </w:r>
    </w:p>
    <w:p w:rsidR="00A01D41" w:rsidRDefault="0069076C" w:rsidP="007E74A8">
      <w:pPr>
        <w:spacing w:before="100" w:after="100"/>
        <w:ind w:firstLine="540"/>
        <w:jc w:val="both"/>
        <w:rPr>
          <w:lang w:val="pl-PL"/>
        </w:rPr>
      </w:pPr>
      <w:r w:rsidRPr="00D2707A">
        <w:rPr>
          <w:lang w:val="pl-PL"/>
        </w:rPr>
        <w:t>a) Khách hàng thanh toán</w:t>
      </w:r>
      <w:r w:rsidR="00670279">
        <w:rPr>
          <w:lang w:val="pl-PL"/>
        </w:rPr>
        <w:t>, chi trả</w:t>
      </w:r>
      <w:r w:rsidRPr="00D2707A">
        <w:rPr>
          <w:lang w:val="pl-PL"/>
        </w:rPr>
        <w:t xml:space="preserve"> cho các mục đích sử dụng vốn vay mà pháp luật quy định phải thực hiện thông qua tài khoản thanh toán của khách hàng</w:t>
      </w:r>
      <w:r w:rsidR="00FD0A91">
        <w:rPr>
          <w:lang w:val="pl-PL"/>
        </w:rPr>
        <w:t>;</w:t>
      </w:r>
    </w:p>
    <w:p w:rsidR="00F21658" w:rsidRDefault="0069076C" w:rsidP="007E74A8">
      <w:pPr>
        <w:spacing w:before="100" w:after="100"/>
        <w:ind w:firstLine="540"/>
        <w:jc w:val="both"/>
        <w:rPr>
          <w:spacing w:val="2"/>
          <w:lang w:val="nl-NL"/>
        </w:rPr>
      </w:pPr>
      <w:r w:rsidRPr="00D2707A">
        <w:rPr>
          <w:lang w:val="pl-PL"/>
        </w:rPr>
        <w:t>b) Khách hàng là bên thụ hưởng</w:t>
      </w:r>
      <w:r w:rsidR="000F09F2" w:rsidRPr="000F09F2">
        <w:rPr>
          <w:spacing w:val="2"/>
          <w:lang w:val="nl-NL"/>
        </w:rPr>
        <w:t xml:space="preserve"> </w:t>
      </w:r>
      <w:r w:rsidR="000F09F2">
        <w:rPr>
          <w:spacing w:val="2"/>
          <w:lang w:val="nl-NL"/>
        </w:rPr>
        <w:t>có tài khoản thanh toán tại tổ chức cung ứng dịch vụ thanh toán</w:t>
      </w:r>
      <w:r>
        <w:rPr>
          <w:lang w:val="pl-PL"/>
        </w:rPr>
        <w:t xml:space="preserve">, </w:t>
      </w:r>
      <w:r w:rsidR="00B51625" w:rsidRPr="007900C6">
        <w:rPr>
          <w:lang w:val="pl-PL"/>
        </w:rPr>
        <w:t xml:space="preserve">đã ứng vốn tự có </w:t>
      </w:r>
      <w:r w:rsidR="00B51625" w:rsidRPr="007900C6">
        <w:rPr>
          <w:spacing w:val="2"/>
          <w:lang w:val="nl-NL"/>
        </w:rPr>
        <w:t xml:space="preserve">để thanh toán, chi trả các chi phí </w:t>
      </w:r>
      <w:r w:rsidR="00F21658">
        <w:rPr>
          <w:spacing w:val="2"/>
          <w:lang w:val="nl-NL"/>
        </w:rPr>
        <w:lastRenderedPageBreak/>
        <w:t>thuộc chính phương án, dự án kinh doanh hoặc phương án, dự án phục vụ đời sống được tổ chức tín dụng cho vay quyết định cho vay theo quy định của pháp luật;</w:t>
      </w:r>
      <w:r w:rsidR="00FD0A91">
        <w:rPr>
          <w:spacing w:val="2"/>
          <w:lang w:val="nl-NL"/>
        </w:rPr>
        <w:t xml:space="preserve"> </w:t>
      </w:r>
    </w:p>
    <w:p w:rsidR="00F21658" w:rsidRDefault="0069076C" w:rsidP="007E74A8">
      <w:pPr>
        <w:spacing w:before="100" w:after="100"/>
        <w:ind w:firstLine="540"/>
        <w:jc w:val="both"/>
        <w:rPr>
          <w:lang w:val="pl-PL"/>
        </w:rPr>
      </w:pPr>
      <w:r>
        <w:rPr>
          <w:lang w:val="pl-PL"/>
        </w:rPr>
        <w:t>c) Khách hàng trực tiếp thanh toán</w:t>
      </w:r>
      <w:r w:rsidR="00670279">
        <w:rPr>
          <w:lang w:val="pl-PL"/>
        </w:rPr>
        <w:t>, chi trả</w:t>
      </w:r>
      <w:r>
        <w:rPr>
          <w:lang w:val="pl-PL"/>
        </w:rPr>
        <w:t xml:space="preserve"> tiền mua sản phẩm nông nghiệp </w:t>
      </w:r>
      <w:r w:rsidRPr="00024591">
        <w:rPr>
          <w:lang w:val="pl-PL"/>
        </w:rPr>
        <w:t>thuộc lĩnh vực nông</w:t>
      </w:r>
      <w:r>
        <w:rPr>
          <w:lang w:val="pl-PL"/>
        </w:rPr>
        <w:t>,</w:t>
      </w:r>
      <w:r w:rsidRPr="00024591">
        <w:rPr>
          <w:lang w:val="pl-PL"/>
        </w:rPr>
        <w:t xml:space="preserve"> lâm, diêm nghiệp và thủy sản</w:t>
      </w:r>
      <w:r>
        <w:rPr>
          <w:lang w:val="pl-PL"/>
        </w:rPr>
        <w:t xml:space="preserve"> từ cá nhân, hộ gia đình, chủ trang trại, hộ kinh doanh và tổ hợp tác có hoạt động sản xuất kinh doanh </w:t>
      </w:r>
      <w:r w:rsidR="00513E1A">
        <w:rPr>
          <w:bCs/>
          <w:lang w:val="pl-PL"/>
        </w:rPr>
        <w:t xml:space="preserve">trên địa bàn </w:t>
      </w:r>
      <w:r>
        <w:rPr>
          <w:bCs/>
          <w:lang w:val="pl-PL"/>
        </w:rPr>
        <w:t>nông thôn</w:t>
      </w:r>
      <w:r>
        <w:rPr>
          <w:lang w:val="pl-PL"/>
        </w:rPr>
        <w:t xml:space="preserve"> để </w:t>
      </w:r>
      <w:r w:rsidR="00513E1A">
        <w:rPr>
          <w:lang w:val="pl-PL"/>
        </w:rPr>
        <w:t xml:space="preserve">khách hàng </w:t>
      </w:r>
      <w:r>
        <w:rPr>
          <w:lang w:val="pl-PL"/>
        </w:rPr>
        <w:t xml:space="preserve">thực hiện </w:t>
      </w:r>
      <w:r w:rsidRPr="006867F4">
        <w:rPr>
          <w:bCs/>
          <w:lang w:val="pl-PL"/>
        </w:rPr>
        <w:t>phương án sản xuất kinh doanh</w:t>
      </w:r>
      <w:r>
        <w:rPr>
          <w:lang w:val="pt-BR"/>
        </w:rPr>
        <w:t>, phù hợp với mục đích vay vốn ghi trong thỏa thuận cho vay</w:t>
      </w:r>
      <w:r>
        <w:rPr>
          <w:bCs/>
          <w:lang w:val="pl-PL"/>
        </w:rPr>
        <w:t>.</w:t>
      </w:r>
    </w:p>
    <w:p w:rsidR="00F21658" w:rsidRDefault="00142D94" w:rsidP="007E74A8">
      <w:pPr>
        <w:spacing w:before="100" w:after="100"/>
        <w:ind w:firstLine="567"/>
        <w:rPr>
          <w:b/>
          <w:lang w:val="pt-BR"/>
        </w:rPr>
      </w:pPr>
      <w:r w:rsidRPr="008C0D2C">
        <w:rPr>
          <w:b/>
          <w:lang w:val="pt-BR"/>
        </w:rPr>
        <w:t xml:space="preserve">Điều </w:t>
      </w:r>
      <w:r w:rsidR="0095577B">
        <w:rPr>
          <w:b/>
          <w:lang w:val="pt-BR"/>
        </w:rPr>
        <w:t>5</w:t>
      </w:r>
      <w:r w:rsidRPr="008C0D2C">
        <w:rPr>
          <w:b/>
          <w:lang w:val="pt-BR"/>
        </w:rPr>
        <w:t>.</w:t>
      </w:r>
      <w:r w:rsidR="000D170F">
        <w:rPr>
          <w:b/>
          <w:lang w:val="pt-BR"/>
        </w:rPr>
        <w:t xml:space="preserve"> </w:t>
      </w:r>
      <w:r>
        <w:rPr>
          <w:b/>
          <w:lang w:val="pt-BR"/>
        </w:rPr>
        <w:t>Phương thức g</w:t>
      </w:r>
      <w:r w:rsidRPr="0053156B">
        <w:rPr>
          <w:b/>
          <w:lang w:val="pt-BR"/>
        </w:rPr>
        <w:t xml:space="preserve">iải ngân vốn </w:t>
      </w:r>
      <w:r>
        <w:rPr>
          <w:b/>
          <w:lang w:val="pt-BR"/>
        </w:rPr>
        <w:t xml:space="preserve">cho </w:t>
      </w:r>
      <w:r w:rsidRPr="0053156B">
        <w:rPr>
          <w:b/>
          <w:lang w:val="pt-BR"/>
        </w:rPr>
        <w:t>vay</w:t>
      </w:r>
      <w:r>
        <w:rPr>
          <w:b/>
          <w:lang w:val="pt-BR"/>
        </w:rPr>
        <w:t xml:space="preserve"> bằng tiền mặt</w:t>
      </w:r>
    </w:p>
    <w:p w:rsidR="00F21658" w:rsidRDefault="004B62F6" w:rsidP="007E74A8">
      <w:pPr>
        <w:spacing w:before="100" w:after="100"/>
        <w:ind w:firstLine="567"/>
        <w:jc w:val="both"/>
        <w:rPr>
          <w:lang w:val="pt-BR"/>
        </w:rPr>
      </w:pPr>
      <w:r>
        <w:rPr>
          <w:lang w:val="pt-BR"/>
        </w:rPr>
        <w:t xml:space="preserve">1. </w:t>
      </w:r>
      <w:r w:rsidR="000F09F2" w:rsidRPr="0053156B">
        <w:rPr>
          <w:lang w:val="pt-BR"/>
        </w:rPr>
        <w:t>Tổ chức tín dụng</w:t>
      </w:r>
      <w:r w:rsidR="000F09F2">
        <w:rPr>
          <w:lang w:val="pt-BR"/>
        </w:rPr>
        <w:t xml:space="preserve"> cho vay </w:t>
      </w:r>
      <w:r w:rsidR="000F09F2" w:rsidRPr="0053156B">
        <w:rPr>
          <w:bCs/>
          <w:lang w:val="pl-PL"/>
        </w:rPr>
        <w:t xml:space="preserve">được xem xét quyết định giải ngân vốn cho vay bằng tiền mặt </w:t>
      </w:r>
      <w:r w:rsidR="000F09F2">
        <w:rPr>
          <w:bCs/>
          <w:lang w:val="pl-PL"/>
        </w:rPr>
        <w:t>trong các trường hợp:</w:t>
      </w:r>
    </w:p>
    <w:p w:rsidR="00F21658" w:rsidRDefault="004B62F6" w:rsidP="007E74A8">
      <w:pPr>
        <w:spacing w:before="100" w:after="100"/>
        <w:ind w:firstLine="567"/>
        <w:jc w:val="both"/>
        <w:rPr>
          <w:lang w:val="pt-BR"/>
        </w:rPr>
      </w:pPr>
      <w:r>
        <w:rPr>
          <w:lang w:val="pt-BR"/>
        </w:rPr>
        <w:t>a)</w:t>
      </w:r>
      <w:r w:rsidR="007B39AE">
        <w:rPr>
          <w:lang w:val="pt-BR"/>
        </w:rPr>
        <w:t xml:space="preserve"> </w:t>
      </w:r>
      <w:r w:rsidR="000F09F2">
        <w:rPr>
          <w:lang w:val="pt-BR"/>
        </w:rPr>
        <w:t>K</w:t>
      </w:r>
      <w:r w:rsidR="00ED4113">
        <w:rPr>
          <w:bCs/>
          <w:lang w:val="pl-PL"/>
        </w:rPr>
        <w:t>hách hàng t</w:t>
      </w:r>
      <w:r w:rsidR="00ED4113" w:rsidRPr="008C0D2C">
        <w:rPr>
          <w:lang w:val="pt-BR"/>
        </w:rPr>
        <w:t>hanh toán</w:t>
      </w:r>
      <w:r w:rsidR="00670279">
        <w:rPr>
          <w:lang w:val="pt-BR"/>
        </w:rPr>
        <w:t>, chi trả</w:t>
      </w:r>
      <w:r w:rsidR="00ED4113" w:rsidRPr="008C0D2C">
        <w:rPr>
          <w:lang w:val="pt-BR"/>
        </w:rPr>
        <w:t xml:space="preserve"> cho bên thụ hưởng </w:t>
      </w:r>
      <w:r w:rsidR="00DC5306">
        <w:rPr>
          <w:lang w:val="pt-BR"/>
        </w:rPr>
        <w:t>(</w:t>
      </w:r>
      <w:r w:rsidR="005430C0">
        <w:rPr>
          <w:lang w:val="pt-BR"/>
        </w:rPr>
        <w:t>không bao gồm</w:t>
      </w:r>
      <w:r w:rsidR="00ED4113">
        <w:rPr>
          <w:lang w:val="pt-BR"/>
        </w:rPr>
        <w:t xml:space="preserve"> pháp nhân</w:t>
      </w:r>
      <w:r w:rsidR="00DC5306">
        <w:rPr>
          <w:lang w:val="pt-BR"/>
        </w:rPr>
        <w:t>)</w:t>
      </w:r>
      <w:r w:rsidR="00ED4113" w:rsidRPr="008C0D2C">
        <w:rPr>
          <w:lang w:val="pt-BR"/>
        </w:rPr>
        <w:t xml:space="preserve"> </w:t>
      </w:r>
      <w:r w:rsidR="00ED4113" w:rsidRPr="00096A59">
        <w:rPr>
          <w:lang w:val="pt-BR"/>
        </w:rPr>
        <w:t>không có tài khoản thanh toán</w:t>
      </w:r>
      <w:r w:rsidR="00ED4113" w:rsidRPr="008C0D2C">
        <w:rPr>
          <w:lang w:val="pt-BR"/>
        </w:rPr>
        <w:t xml:space="preserve"> tại tổ chức cung ứng dịch vụ thanh toán</w:t>
      </w:r>
      <w:r w:rsidR="007873AB">
        <w:rPr>
          <w:lang w:val="pt-BR"/>
        </w:rPr>
        <w:t>;</w:t>
      </w:r>
      <w:r w:rsidR="00ED4113">
        <w:rPr>
          <w:lang w:val="pt-BR"/>
        </w:rPr>
        <w:t xml:space="preserve"> </w:t>
      </w:r>
    </w:p>
    <w:p w:rsidR="00F21658" w:rsidRPr="007900C6" w:rsidRDefault="004B62F6" w:rsidP="007E74A8">
      <w:pPr>
        <w:spacing w:before="100" w:after="100"/>
        <w:ind w:firstLine="540"/>
        <w:jc w:val="both"/>
        <w:rPr>
          <w:lang w:val="pl-PL"/>
        </w:rPr>
      </w:pPr>
      <w:r>
        <w:rPr>
          <w:lang w:val="pt-BR"/>
        </w:rPr>
        <w:t>b)</w:t>
      </w:r>
      <w:r w:rsidR="007B39AE">
        <w:rPr>
          <w:lang w:val="pt-BR"/>
        </w:rPr>
        <w:t xml:space="preserve"> </w:t>
      </w:r>
      <w:r w:rsidR="000F09F2" w:rsidRPr="00D2707A">
        <w:rPr>
          <w:lang w:val="pl-PL"/>
        </w:rPr>
        <w:t>Khách hàng là bên thụ hưởng</w:t>
      </w:r>
      <w:r w:rsidR="000F09F2" w:rsidRPr="000F09F2">
        <w:rPr>
          <w:spacing w:val="2"/>
          <w:lang w:val="nl-NL"/>
        </w:rPr>
        <w:t xml:space="preserve"> </w:t>
      </w:r>
      <w:r w:rsidR="00DC5306">
        <w:rPr>
          <w:spacing w:val="2"/>
          <w:lang w:val="nl-NL"/>
        </w:rPr>
        <w:t>(</w:t>
      </w:r>
      <w:r w:rsidR="005430C0">
        <w:rPr>
          <w:lang w:val="pt-BR"/>
        </w:rPr>
        <w:t>không bao gồm</w:t>
      </w:r>
      <w:r w:rsidR="0024487C">
        <w:rPr>
          <w:lang w:val="pt-BR"/>
        </w:rPr>
        <w:t xml:space="preserve"> pháp nhân</w:t>
      </w:r>
      <w:r w:rsidR="00DC5306">
        <w:rPr>
          <w:lang w:val="pt-BR"/>
        </w:rPr>
        <w:t>)</w:t>
      </w:r>
      <w:r w:rsidR="0024487C">
        <w:rPr>
          <w:spacing w:val="2"/>
          <w:lang w:val="nl-NL"/>
        </w:rPr>
        <w:t xml:space="preserve"> </w:t>
      </w:r>
      <w:r w:rsidR="000F09F2">
        <w:rPr>
          <w:spacing w:val="2"/>
          <w:lang w:val="nl-NL"/>
        </w:rPr>
        <w:t>không có tài khoản thanh toán tại tổ chức cung ứng dịch vụ thanh toán</w:t>
      </w:r>
      <w:r w:rsidR="000F09F2">
        <w:rPr>
          <w:lang w:val="pl-PL"/>
        </w:rPr>
        <w:t xml:space="preserve">, </w:t>
      </w:r>
      <w:r w:rsidR="00B51625" w:rsidRPr="007900C6">
        <w:rPr>
          <w:lang w:val="pl-PL"/>
        </w:rPr>
        <w:t xml:space="preserve">đã ứng vốn tự có </w:t>
      </w:r>
      <w:r w:rsidR="00B51625" w:rsidRPr="007900C6">
        <w:rPr>
          <w:spacing w:val="2"/>
          <w:lang w:val="nl-NL"/>
        </w:rPr>
        <w:t>để thanh toán, chi tr</w:t>
      </w:r>
      <w:r w:rsidR="00F21658">
        <w:rPr>
          <w:spacing w:val="2"/>
          <w:lang w:val="nl-NL"/>
        </w:rPr>
        <w:t xml:space="preserve">ả các chi phí thuộc chính phương án, dự án kinh doanh hoặc phương án, dự án phục vụ đời sống được tổ chức tín dụng cho vay quyết định cho </w:t>
      </w:r>
      <w:r w:rsidR="00B51625" w:rsidRPr="007900C6">
        <w:rPr>
          <w:spacing w:val="2"/>
          <w:lang w:val="nl-NL"/>
        </w:rPr>
        <w:t>vay theo quy định của pháp luật.</w:t>
      </w:r>
      <w:r w:rsidR="00B51625" w:rsidRPr="007900C6">
        <w:rPr>
          <w:lang w:val="pl-PL"/>
        </w:rPr>
        <w:t xml:space="preserve"> </w:t>
      </w:r>
    </w:p>
    <w:p w:rsidR="00F21658" w:rsidRDefault="004B62F6" w:rsidP="007E74A8">
      <w:pPr>
        <w:spacing w:before="100" w:after="100"/>
        <w:ind w:firstLine="540"/>
        <w:jc w:val="both"/>
        <w:rPr>
          <w:bCs/>
          <w:lang w:val="pl-PL"/>
        </w:rPr>
      </w:pPr>
      <w:r>
        <w:rPr>
          <w:lang w:val="pt-BR"/>
        </w:rPr>
        <w:t>2</w:t>
      </w:r>
      <w:r w:rsidR="000F09F2">
        <w:rPr>
          <w:lang w:val="pt-BR"/>
        </w:rPr>
        <w:t xml:space="preserve">. </w:t>
      </w:r>
      <w:r w:rsidR="0038404B">
        <w:rPr>
          <w:lang w:val="pt-BR"/>
        </w:rPr>
        <w:t xml:space="preserve">Khách hàng phải gửi cho tổ chức tín dụng cho vay văn bản cam kết của bên thụ hưởng về việc bên thụ hưởng không </w:t>
      </w:r>
      <w:r w:rsidR="0038404B" w:rsidRPr="006867F4">
        <w:rPr>
          <w:lang w:val="pt-BR"/>
        </w:rPr>
        <w:t>có tài khoản thanh toán tại tổ chức cung ứng dịch vụ thanh toán</w:t>
      </w:r>
      <w:r w:rsidR="0038404B">
        <w:rPr>
          <w:lang w:val="pt-BR"/>
        </w:rPr>
        <w:t xml:space="preserve">. </w:t>
      </w:r>
    </w:p>
    <w:p w:rsidR="00F21658" w:rsidRDefault="00ED4113" w:rsidP="007E74A8">
      <w:pPr>
        <w:spacing w:before="100" w:after="100"/>
        <w:ind w:firstLine="567"/>
        <w:jc w:val="both"/>
        <w:rPr>
          <w:lang w:val="pt-BR"/>
        </w:rPr>
      </w:pPr>
      <w:r w:rsidRPr="008C0D2C">
        <w:rPr>
          <w:b/>
          <w:lang w:val="pt-BR"/>
        </w:rPr>
        <w:t xml:space="preserve">Điều </w:t>
      </w:r>
      <w:r w:rsidR="0095577B">
        <w:rPr>
          <w:b/>
          <w:lang w:val="pt-BR"/>
        </w:rPr>
        <w:t>6</w:t>
      </w:r>
      <w:r w:rsidRPr="008C0D2C">
        <w:rPr>
          <w:b/>
          <w:lang w:val="pt-BR"/>
        </w:rPr>
        <w:t>.</w:t>
      </w:r>
      <w:r w:rsidR="0027495D" w:rsidRPr="0027495D">
        <w:rPr>
          <w:lang w:val="pt-BR"/>
        </w:rPr>
        <w:t xml:space="preserve"> </w:t>
      </w:r>
      <w:r w:rsidR="00AB5FEC" w:rsidRPr="00AB5FEC">
        <w:rPr>
          <w:b/>
          <w:lang w:val="pt-BR"/>
        </w:rPr>
        <w:t>Phương thức giải ngân vốn cho vay</w:t>
      </w:r>
      <w:r w:rsidR="002340A9">
        <w:rPr>
          <w:b/>
          <w:lang w:val="pt-BR"/>
        </w:rPr>
        <w:t xml:space="preserve"> s</w:t>
      </w:r>
      <w:r w:rsidR="002340A9" w:rsidRPr="0069076C">
        <w:rPr>
          <w:b/>
          <w:bCs/>
          <w:lang w:val="pl-PL"/>
        </w:rPr>
        <w:t>ử dụng dịch vụ thanh toán không dùng tiền mặt</w:t>
      </w:r>
      <w:r w:rsidR="002340A9">
        <w:rPr>
          <w:b/>
          <w:bCs/>
          <w:lang w:val="pl-PL"/>
        </w:rPr>
        <w:t xml:space="preserve"> hoặc bằng tiền mặt</w:t>
      </w:r>
    </w:p>
    <w:p w:rsidR="00F21658" w:rsidRDefault="0027495D" w:rsidP="007E74A8">
      <w:pPr>
        <w:spacing w:before="100" w:after="100"/>
        <w:ind w:firstLine="567"/>
        <w:jc w:val="both"/>
        <w:rPr>
          <w:lang w:val="pt-BR"/>
        </w:rPr>
      </w:pPr>
      <w:r w:rsidRPr="00ED4113">
        <w:rPr>
          <w:lang w:val="pt-BR"/>
        </w:rPr>
        <w:t xml:space="preserve">Tổ chức tín dụng cho vay </w:t>
      </w:r>
      <w:r w:rsidRPr="00ED4113">
        <w:rPr>
          <w:bCs/>
          <w:lang w:val="pl-PL"/>
        </w:rPr>
        <w:t xml:space="preserve">được xem xét quyết định </w:t>
      </w:r>
      <w:r w:rsidR="00F96FBD">
        <w:rPr>
          <w:bCs/>
          <w:lang w:val="pl-PL"/>
        </w:rPr>
        <w:t xml:space="preserve">phương thức </w:t>
      </w:r>
      <w:r w:rsidRPr="00ED4113">
        <w:rPr>
          <w:bCs/>
          <w:lang w:val="pl-PL"/>
        </w:rPr>
        <w:t>giải ngân vốn cho vay sử dụng dịch vụ thanh toán không dùng tiền mặt hoặc bằng tiền mặt trong trường hợp:</w:t>
      </w:r>
    </w:p>
    <w:p w:rsidR="00F21658" w:rsidRDefault="0027495D" w:rsidP="007E74A8">
      <w:pPr>
        <w:spacing w:before="100" w:after="100"/>
        <w:ind w:firstLine="540"/>
        <w:jc w:val="both"/>
        <w:rPr>
          <w:lang w:val="pt-BR"/>
        </w:rPr>
      </w:pPr>
      <w:r>
        <w:rPr>
          <w:lang w:val="pt-BR"/>
        </w:rPr>
        <w:t>1.</w:t>
      </w:r>
      <w:r w:rsidR="005A47A6" w:rsidRPr="0053156B">
        <w:rPr>
          <w:lang w:val="pt-BR"/>
        </w:rPr>
        <w:t xml:space="preserve"> </w:t>
      </w:r>
      <w:r w:rsidR="00DC5306">
        <w:rPr>
          <w:lang w:val="pt-BR"/>
        </w:rPr>
        <w:t xml:space="preserve">Khách hàng </w:t>
      </w:r>
      <w:r w:rsidR="00DC5306">
        <w:rPr>
          <w:bCs/>
          <w:lang w:val="pl-PL"/>
        </w:rPr>
        <w:t>t</w:t>
      </w:r>
      <w:r w:rsidR="005A47A6" w:rsidRPr="0053156B">
        <w:rPr>
          <w:bCs/>
          <w:lang w:val="pl-PL"/>
        </w:rPr>
        <w:t>hanh toán</w:t>
      </w:r>
      <w:r w:rsidR="00670279">
        <w:rPr>
          <w:bCs/>
          <w:lang w:val="pl-PL"/>
        </w:rPr>
        <w:t>, chi trả</w:t>
      </w:r>
      <w:r w:rsidR="005A47A6" w:rsidRPr="0053156B">
        <w:rPr>
          <w:bCs/>
          <w:lang w:val="pl-PL"/>
        </w:rPr>
        <w:t xml:space="preserve"> cho bên thụ hưởng</w:t>
      </w:r>
      <w:r w:rsidR="00713B4B">
        <w:rPr>
          <w:bCs/>
          <w:lang w:val="pl-PL"/>
        </w:rPr>
        <w:t xml:space="preserve"> </w:t>
      </w:r>
      <w:r w:rsidR="009D602E">
        <w:rPr>
          <w:lang w:val="pt-BR"/>
        </w:rPr>
        <w:t>(</w:t>
      </w:r>
      <w:r w:rsidR="005430C0">
        <w:rPr>
          <w:lang w:val="pt-BR"/>
        </w:rPr>
        <w:t>không bao gồm</w:t>
      </w:r>
      <w:r w:rsidR="009D602E">
        <w:rPr>
          <w:lang w:val="pt-BR"/>
        </w:rPr>
        <w:t xml:space="preserve"> pháp nhân)</w:t>
      </w:r>
      <w:r w:rsidR="009D602E" w:rsidDel="009D602E">
        <w:rPr>
          <w:bCs/>
          <w:lang w:val="pl-PL"/>
        </w:rPr>
        <w:t xml:space="preserve"> </w:t>
      </w:r>
      <w:r w:rsidR="005A47A6" w:rsidRPr="0053156B">
        <w:rPr>
          <w:bCs/>
          <w:lang w:val="pl-PL"/>
        </w:rPr>
        <w:t xml:space="preserve">có tài khoản thanh toán tại tổ chức cung ứng dịch vụ thanh toán với số tiền vay </w:t>
      </w:r>
      <w:r w:rsidR="0030555F" w:rsidRPr="006867F4">
        <w:rPr>
          <w:bCs/>
          <w:lang w:val="pl-PL"/>
        </w:rPr>
        <w:t>ghi trong thỏa thuận cho vay có giá trị không vượt quá</w:t>
      </w:r>
      <w:r w:rsidR="0030555F">
        <w:rPr>
          <w:bCs/>
          <w:lang w:val="pl-PL"/>
        </w:rPr>
        <w:t xml:space="preserve"> </w:t>
      </w:r>
      <w:r w:rsidR="0030555F" w:rsidRPr="0053156B">
        <w:rPr>
          <w:bCs/>
          <w:lang w:val="pl-PL"/>
        </w:rPr>
        <w:t>100.000.000 đồng (một trăm triệu đồng)</w:t>
      </w:r>
      <w:r w:rsidR="00DE37E6">
        <w:rPr>
          <w:bCs/>
          <w:lang w:val="pl-PL"/>
        </w:rPr>
        <w:t>.</w:t>
      </w:r>
    </w:p>
    <w:p w:rsidR="00F21658" w:rsidRDefault="0027495D" w:rsidP="007E74A8">
      <w:pPr>
        <w:spacing w:before="100" w:after="100"/>
        <w:ind w:firstLine="540"/>
        <w:jc w:val="both"/>
        <w:rPr>
          <w:lang w:val="pt-BR"/>
        </w:rPr>
      </w:pPr>
      <w:r>
        <w:rPr>
          <w:lang w:val="pt-BR"/>
        </w:rPr>
        <w:t>2.</w:t>
      </w:r>
      <w:r w:rsidR="005A47A6" w:rsidRPr="008C0D2C">
        <w:rPr>
          <w:lang w:val="pt-BR"/>
        </w:rPr>
        <w:t xml:space="preserve"> </w:t>
      </w:r>
      <w:r w:rsidR="00DC5306">
        <w:rPr>
          <w:lang w:val="pt-BR"/>
        </w:rPr>
        <w:t xml:space="preserve">Khách hàng </w:t>
      </w:r>
      <w:r w:rsidR="00DC5306">
        <w:rPr>
          <w:bCs/>
          <w:lang w:val="pl-PL"/>
        </w:rPr>
        <w:t>t</w:t>
      </w:r>
      <w:r w:rsidR="00D765A6" w:rsidRPr="00D765A6">
        <w:rPr>
          <w:lang w:val="pt-BR"/>
        </w:rPr>
        <w:t>hanh toán</w:t>
      </w:r>
      <w:r w:rsidR="00670279">
        <w:rPr>
          <w:lang w:val="pt-BR"/>
        </w:rPr>
        <w:t>, chi trả</w:t>
      </w:r>
      <w:r w:rsidR="00D765A6" w:rsidRPr="00D765A6">
        <w:rPr>
          <w:lang w:val="pt-BR"/>
        </w:rPr>
        <w:t xml:space="preserve"> cho bên thụ hưởng là tổ chức sử dụng vốn nhà nước được thanh toán bằng tiền mặt theo </w:t>
      </w:r>
      <w:r w:rsidR="005A47A6" w:rsidRPr="0053156B">
        <w:rPr>
          <w:lang w:val="pt-BR"/>
        </w:rPr>
        <w:t xml:space="preserve">quy định của </w:t>
      </w:r>
      <w:r w:rsidR="003A4ED2">
        <w:rPr>
          <w:lang w:val="pt-BR"/>
        </w:rPr>
        <w:t>Ngân hàng Nhà nước Việt Nam</w:t>
      </w:r>
      <w:r w:rsidR="005A47A6" w:rsidRPr="0053156B">
        <w:rPr>
          <w:lang w:val="pt-BR"/>
        </w:rPr>
        <w:t>.</w:t>
      </w:r>
    </w:p>
    <w:p w:rsidR="00F21658" w:rsidRDefault="00D765A6" w:rsidP="007E74A8">
      <w:pPr>
        <w:spacing w:before="120" w:after="120"/>
        <w:ind w:firstLine="540"/>
        <w:jc w:val="both"/>
        <w:rPr>
          <w:b/>
          <w:lang w:val="pt-BR"/>
        </w:rPr>
      </w:pPr>
      <w:r w:rsidRPr="00D765A6">
        <w:rPr>
          <w:b/>
          <w:lang w:val="pt-BR"/>
        </w:rPr>
        <w:t>Điều</w:t>
      </w:r>
      <w:r w:rsidR="00625716">
        <w:rPr>
          <w:b/>
          <w:lang w:val="pt-BR"/>
        </w:rPr>
        <w:t xml:space="preserve"> 7.</w:t>
      </w:r>
      <w:r w:rsidRPr="00D765A6">
        <w:rPr>
          <w:b/>
          <w:lang w:val="pt-BR"/>
        </w:rPr>
        <w:t xml:space="preserve"> </w:t>
      </w:r>
      <w:r w:rsidR="008B7142">
        <w:rPr>
          <w:b/>
          <w:lang w:val="pt-BR"/>
        </w:rPr>
        <w:t>Việc áp dụng p</w:t>
      </w:r>
      <w:r w:rsidR="00625716">
        <w:rPr>
          <w:b/>
          <w:lang w:val="pt-BR"/>
        </w:rPr>
        <w:t>hương thức giải ngân vốn cho vay</w:t>
      </w:r>
      <w:r w:rsidR="00D14190">
        <w:rPr>
          <w:b/>
          <w:lang w:val="pt-BR"/>
        </w:rPr>
        <w:t xml:space="preserve"> </w:t>
      </w:r>
      <w:r w:rsidRPr="00D765A6">
        <w:rPr>
          <w:b/>
          <w:lang w:val="pt-BR"/>
        </w:rPr>
        <w:t xml:space="preserve">đối với một số trường hợp cụ thể </w:t>
      </w:r>
    </w:p>
    <w:p w:rsidR="00F21658" w:rsidRDefault="009C0106" w:rsidP="007E74A8">
      <w:pPr>
        <w:spacing w:before="120" w:after="120"/>
        <w:ind w:firstLine="540"/>
        <w:jc w:val="both"/>
        <w:rPr>
          <w:bCs/>
          <w:lang w:val="pl-PL"/>
        </w:rPr>
      </w:pPr>
      <w:r>
        <w:rPr>
          <w:lang w:val="pt-BR"/>
        </w:rPr>
        <w:t>1.</w:t>
      </w:r>
      <w:r w:rsidR="000F2C39" w:rsidRPr="00EE248A">
        <w:rPr>
          <w:lang w:val="pt-BR"/>
        </w:rPr>
        <w:t xml:space="preserve"> </w:t>
      </w:r>
      <w:r w:rsidR="008160BA">
        <w:rPr>
          <w:bCs/>
          <w:lang w:val="pl-PL"/>
        </w:rPr>
        <w:t>T</w:t>
      </w:r>
      <w:r w:rsidR="008160BA" w:rsidRPr="00EE248A">
        <w:rPr>
          <w:bCs/>
          <w:lang w:val="pl-PL"/>
        </w:rPr>
        <w:t xml:space="preserve">rường hợp </w:t>
      </w:r>
      <w:r w:rsidR="008160BA">
        <w:rPr>
          <w:lang w:val="pt-BR"/>
        </w:rPr>
        <w:t>c</w:t>
      </w:r>
      <w:r w:rsidR="000F2C39" w:rsidRPr="00EE248A">
        <w:rPr>
          <w:bCs/>
          <w:lang w:val="pl-PL"/>
        </w:rPr>
        <w:t>ho vay hợp vốn</w:t>
      </w:r>
      <w:r w:rsidR="008160BA">
        <w:rPr>
          <w:bCs/>
          <w:lang w:val="pl-PL"/>
        </w:rPr>
        <w:t xml:space="preserve"> mà việc </w:t>
      </w:r>
      <w:r w:rsidR="000F2C39" w:rsidRPr="00EE248A">
        <w:rPr>
          <w:bCs/>
          <w:lang w:val="pl-PL"/>
        </w:rPr>
        <w:t xml:space="preserve">giải ngân vốn cho vay </w:t>
      </w:r>
      <w:r w:rsidR="00670279">
        <w:rPr>
          <w:bCs/>
          <w:lang w:val="pl-PL"/>
        </w:rPr>
        <w:t xml:space="preserve">được thực hiện </w:t>
      </w:r>
      <w:r w:rsidR="000F2C39" w:rsidRPr="00EE248A">
        <w:rPr>
          <w:bCs/>
          <w:lang w:val="pl-PL"/>
        </w:rPr>
        <w:t xml:space="preserve">thông qua tổ chức tín dụng đầu mối thanh toán </w:t>
      </w:r>
      <w:r w:rsidR="000F2C39">
        <w:rPr>
          <w:bCs/>
          <w:lang w:val="pl-PL"/>
        </w:rPr>
        <w:t>(bao gồm cả t</w:t>
      </w:r>
      <w:r w:rsidR="000F2C39" w:rsidRPr="00EE248A">
        <w:rPr>
          <w:bCs/>
          <w:lang w:val="pl-PL"/>
        </w:rPr>
        <w:t xml:space="preserve">rường hợp thành viên đầu mối cho vay hợp vốn </w:t>
      </w:r>
      <w:r w:rsidR="000F2C39">
        <w:rPr>
          <w:bCs/>
          <w:lang w:val="pl-PL"/>
        </w:rPr>
        <w:t>đồng thời</w:t>
      </w:r>
      <w:r w:rsidR="000F2C39" w:rsidRPr="00EE248A">
        <w:rPr>
          <w:bCs/>
          <w:lang w:val="pl-PL"/>
        </w:rPr>
        <w:t xml:space="preserve"> là thành viên đầu mối thanh toán</w:t>
      </w:r>
      <w:r w:rsidR="000F2C39">
        <w:rPr>
          <w:bCs/>
          <w:lang w:val="pl-PL"/>
        </w:rPr>
        <w:t>)</w:t>
      </w:r>
      <w:r w:rsidR="008160BA">
        <w:rPr>
          <w:bCs/>
          <w:lang w:val="pl-PL"/>
        </w:rPr>
        <w:t>:</w:t>
      </w:r>
      <w:r w:rsidR="000F2C39">
        <w:rPr>
          <w:bCs/>
          <w:lang w:val="pl-PL"/>
        </w:rPr>
        <w:t xml:space="preserve"> </w:t>
      </w:r>
      <w:r w:rsidR="008160BA">
        <w:rPr>
          <w:bCs/>
          <w:lang w:val="pl-PL"/>
        </w:rPr>
        <w:t xml:space="preserve">Các thành viên tham gia cho vay hợp vốn thỏa thuận, quyết định </w:t>
      </w:r>
      <w:r w:rsidR="000F2C39">
        <w:rPr>
          <w:bCs/>
          <w:lang w:val="pl-PL"/>
        </w:rPr>
        <w:t>v</w:t>
      </w:r>
      <w:r w:rsidR="000F2C39" w:rsidRPr="00EE248A">
        <w:rPr>
          <w:bCs/>
          <w:lang w:val="pl-PL"/>
        </w:rPr>
        <w:t>iệc</w:t>
      </w:r>
      <w:r w:rsidR="008160BA">
        <w:rPr>
          <w:bCs/>
          <w:lang w:val="pl-PL"/>
        </w:rPr>
        <w:t xml:space="preserve"> sử dụng phương thức giải ngân vốn </w:t>
      </w:r>
      <w:r w:rsidR="0005638F">
        <w:rPr>
          <w:bCs/>
          <w:lang w:val="pl-PL"/>
        </w:rPr>
        <w:t xml:space="preserve">cho </w:t>
      </w:r>
      <w:r w:rsidR="008160BA">
        <w:rPr>
          <w:bCs/>
          <w:lang w:val="pl-PL"/>
        </w:rPr>
        <w:t>vay</w:t>
      </w:r>
      <w:r w:rsidR="000F2C39" w:rsidRPr="00EE248A">
        <w:rPr>
          <w:bCs/>
          <w:lang w:val="pl-PL"/>
        </w:rPr>
        <w:t xml:space="preserve"> </w:t>
      </w:r>
      <w:r w:rsidR="008160BA">
        <w:rPr>
          <w:bCs/>
          <w:lang w:val="pl-PL"/>
        </w:rPr>
        <w:t xml:space="preserve">theo quy định tại Điều 4, Điều 5, Điều 6 Thông tư này. Việc </w:t>
      </w:r>
      <w:r w:rsidR="008160BA" w:rsidRPr="00EE248A">
        <w:rPr>
          <w:bCs/>
          <w:lang w:val="pl-PL"/>
        </w:rPr>
        <w:t>thanh toán</w:t>
      </w:r>
      <w:r w:rsidR="008160BA">
        <w:rPr>
          <w:bCs/>
          <w:lang w:val="pl-PL"/>
        </w:rPr>
        <w:t>, chi trả</w:t>
      </w:r>
      <w:r w:rsidR="008160BA" w:rsidRPr="00EE248A">
        <w:rPr>
          <w:bCs/>
          <w:lang w:val="pl-PL"/>
        </w:rPr>
        <w:t xml:space="preserve"> </w:t>
      </w:r>
      <w:r w:rsidR="008160BA">
        <w:rPr>
          <w:bCs/>
          <w:lang w:val="pl-PL"/>
        </w:rPr>
        <w:t xml:space="preserve">cho bên thụ hưởng được tổ chức tín </w:t>
      </w:r>
      <w:r w:rsidR="008160BA">
        <w:rPr>
          <w:bCs/>
          <w:lang w:val="pl-PL"/>
        </w:rPr>
        <w:lastRenderedPageBreak/>
        <w:t>dụng đầu mối thanh toán thực hiện n</w:t>
      </w:r>
      <w:r w:rsidR="000F2C39">
        <w:rPr>
          <w:bCs/>
          <w:lang w:val="pl-PL"/>
        </w:rPr>
        <w:t>gay trong ngày nhận được số tiền giải ngân vốn cho vay từ t</w:t>
      </w:r>
      <w:r w:rsidR="000F2C39" w:rsidRPr="00EE248A">
        <w:rPr>
          <w:bCs/>
          <w:lang w:val="pl-PL"/>
        </w:rPr>
        <w:t xml:space="preserve">hành viên </w:t>
      </w:r>
      <w:r w:rsidR="000F2C39">
        <w:rPr>
          <w:bCs/>
          <w:lang w:val="pl-PL"/>
        </w:rPr>
        <w:t xml:space="preserve">tham gia cho vay hợp vốn hoặc thành viên </w:t>
      </w:r>
      <w:r w:rsidR="000F2C39" w:rsidRPr="00EE248A">
        <w:rPr>
          <w:bCs/>
          <w:lang w:val="pl-PL"/>
        </w:rPr>
        <w:t xml:space="preserve">đầu mối cho vay hợp vốn; trường hợp số tiền giải ngân nhận được sau giờ giao dịch thanh toán trong ngày của </w:t>
      </w:r>
      <w:r w:rsidR="000F2C39">
        <w:rPr>
          <w:bCs/>
          <w:lang w:val="pl-PL"/>
        </w:rPr>
        <w:t>tổ chức tín dụng</w:t>
      </w:r>
      <w:r w:rsidR="000F2C39" w:rsidRPr="00EE248A">
        <w:rPr>
          <w:bCs/>
          <w:lang w:val="pl-PL"/>
        </w:rPr>
        <w:t xml:space="preserve"> đầu mối </w:t>
      </w:r>
      <w:r w:rsidR="000F2C39">
        <w:rPr>
          <w:bCs/>
          <w:lang w:val="pl-PL"/>
        </w:rPr>
        <w:t>thanh toán</w:t>
      </w:r>
      <w:r w:rsidR="000F2C39" w:rsidRPr="00EE248A">
        <w:rPr>
          <w:bCs/>
          <w:lang w:val="pl-PL"/>
        </w:rPr>
        <w:t xml:space="preserve"> thì việc thanh toán</w:t>
      </w:r>
      <w:r w:rsidR="008160BA">
        <w:rPr>
          <w:bCs/>
          <w:lang w:val="pl-PL"/>
        </w:rPr>
        <w:t>, chi trả</w:t>
      </w:r>
      <w:r w:rsidR="000F2C39" w:rsidRPr="00EE248A">
        <w:rPr>
          <w:bCs/>
          <w:lang w:val="pl-PL"/>
        </w:rPr>
        <w:t xml:space="preserve"> cho bên thụ hưởng được thực hiện vào ngày làm việc tiếp theo</w:t>
      </w:r>
      <w:r w:rsidR="008160BA">
        <w:rPr>
          <w:bCs/>
          <w:lang w:val="pl-PL"/>
        </w:rPr>
        <w:t>.</w:t>
      </w:r>
    </w:p>
    <w:p w:rsidR="000F2C39" w:rsidRDefault="00907F04" w:rsidP="007E74A8">
      <w:pPr>
        <w:spacing w:before="120" w:after="120"/>
        <w:ind w:firstLine="540"/>
        <w:jc w:val="both"/>
        <w:rPr>
          <w:lang w:val="pt-BR"/>
        </w:rPr>
      </w:pPr>
      <w:r>
        <w:rPr>
          <w:lang w:val="pt-BR"/>
        </w:rPr>
        <w:t>2.</w:t>
      </w:r>
      <w:r w:rsidR="000F2C39" w:rsidRPr="0076056A">
        <w:rPr>
          <w:lang w:val="pt-BR"/>
        </w:rPr>
        <w:t xml:space="preserve"> </w:t>
      </w:r>
      <w:r w:rsidR="00D14190">
        <w:rPr>
          <w:lang w:val="pt-BR"/>
        </w:rPr>
        <w:t xml:space="preserve">Trường hợp </w:t>
      </w:r>
      <w:r w:rsidR="00D14190">
        <w:rPr>
          <w:bCs/>
          <w:lang w:val="pl-PL"/>
        </w:rPr>
        <w:t>k</w:t>
      </w:r>
      <w:r w:rsidR="000F2C39" w:rsidRPr="0076056A">
        <w:rPr>
          <w:bCs/>
          <w:lang w:val="pl-PL"/>
        </w:rPr>
        <w:t>hách hàng sử dụng dịch vụ quản lý tài chính tập trung tại tổ chức tín dụng quản lý tài chính không phải là tổ chức tín dụng cho vay:</w:t>
      </w:r>
      <w:r w:rsidR="000F2C39" w:rsidRPr="0076056A" w:rsidDel="00306B56">
        <w:rPr>
          <w:bCs/>
          <w:lang w:val="pl-PL"/>
        </w:rPr>
        <w:t xml:space="preserve"> </w:t>
      </w:r>
      <w:r w:rsidR="008160BA">
        <w:rPr>
          <w:bCs/>
          <w:lang w:val="pl-PL"/>
        </w:rPr>
        <w:t>Tổ chức tín dụng cho vay quyết định v</w:t>
      </w:r>
      <w:r w:rsidR="008160BA" w:rsidRPr="00EE248A">
        <w:rPr>
          <w:bCs/>
          <w:lang w:val="pl-PL"/>
        </w:rPr>
        <w:t>iệc</w:t>
      </w:r>
      <w:r w:rsidR="008160BA">
        <w:rPr>
          <w:bCs/>
          <w:lang w:val="pl-PL"/>
        </w:rPr>
        <w:t xml:space="preserve"> sử dụng phương thức giải ngân vốn</w:t>
      </w:r>
      <w:r w:rsidR="0005638F">
        <w:rPr>
          <w:bCs/>
          <w:lang w:val="pl-PL"/>
        </w:rPr>
        <w:t xml:space="preserve"> cho</w:t>
      </w:r>
      <w:r w:rsidR="008160BA">
        <w:rPr>
          <w:bCs/>
          <w:lang w:val="pl-PL"/>
        </w:rPr>
        <w:t xml:space="preserve"> vay</w:t>
      </w:r>
      <w:r w:rsidR="008160BA" w:rsidRPr="00EE248A">
        <w:rPr>
          <w:bCs/>
          <w:lang w:val="pl-PL"/>
        </w:rPr>
        <w:t xml:space="preserve"> </w:t>
      </w:r>
      <w:r w:rsidR="008160BA">
        <w:rPr>
          <w:bCs/>
          <w:lang w:val="pl-PL"/>
        </w:rPr>
        <w:t xml:space="preserve">theo quy định tại Điều 4, Điều 5, Điều 6 Thông tư này. Việc </w:t>
      </w:r>
      <w:r w:rsidR="008160BA" w:rsidRPr="00EE248A">
        <w:rPr>
          <w:bCs/>
          <w:lang w:val="pl-PL"/>
        </w:rPr>
        <w:t>thanh toán</w:t>
      </w:r>
      <w:r w:rsidR="008160BA">
        <w:rPr>
          <w:bCs/>
          <w:lang w:val="pl-PL"/>
        </w:rPr>
        <w:t>, chi trả</w:t>
      </w:r>
      <w:r w:rsidR="008160BA" w:rsidRPr="00EE248A">
        <w:rPr>
          <w:bCs/>
          <w:lang w:val="pl-PL"/>
        </w:rPr>
        <w:t xml:space="preserve"> </w:t>
      </w:r>
      <w:r w:rsidR="008160BA">
        <w:rPr>
          <w:bCs/>
          <w:lang w:val="pl-PL"/>
        </w:rPr>
        <w:t>cho bên thụ hưởng được tổ chức tín dụng</w:t>
      </w:r>
      <w:r w:rsidR="008160BA" w:rsidRPr="0076056A">
        <w:rPr>
          <w:bCs/>
          <w:lang w:val="pl-PL"/>
        </w:rPr>
        <w:t xml:space="preserve"> </w:t>
      </w:r>
      <w:r w:rsidR="008160BA">
        <w:rPr>
          <w:bCs/>
          <w:lang w:val="pl-PL"/>
        </w:rPr>
        <w:t>quản lý tài chính thực hiện n</w:t>
      </w:r>
      <w:r w:rsidR="000F2C39" w:rsidRPr="0076056A">
        <w:rPr>
          <w:bCs/>
          <w:lang w:val="pl-PL"/>
        </w:rPr>
        <w:t>gay trong ngày nhận được số tiền giải ngân từ tổ chức tín dụng cho vay</w:t>
      </w:r>
      <w:r w:rsidR="00625716">
        <w:rPr>
          <w:bCs/>
          <w:lang w:val="pl-PL"/>
        </w:rPr>
        <w:t>;</w:t>
      </w:r>
      <w:r w:rsidR="000F2C39" w:rsidRPr="0076056A">
        <w:rPr>
          <w:bCs/>
          <w:lang w:val="pl-PL"/>
        </w:rPr>
        <w:t xml:space="preserve"> </w:t>
      </w:r>
      <w:r w:rsidR="00625716">
        <w:rPr>
          <w:bCs/>
          <w:lang w:val="pl-PL"/>
        </w:rPr>
        <w:t>t</w:t>
      </w:r>
      <w:r w:rsidR="000F2C39" w:rsidRPr="0076056A">
        <w:rPr>
          <w:bCs/>
          <w:lang w:val="pl-PL"/>
        </w:rPr>
        <w:t>rường hợp số tiền giải ngân nhận được sau giờ giao dịch thanh toán trong ngày của tổ chức tín dụng quản lý tài chính thì việc thanh toán</w:t>
      </w:r>
      <w:r w:rsidR="00625716">
        <w:rPr>
          <w:bCs/>
          <w:lang w:val="pl-PL"/>
        </w:rPr>
        <w:t>, chi trả</w:t>
      </w:r>
      <w:r w:rsidR="000F2C39" w:rsidRPr="0076056A">
        <w:rPr>
          <w:bCs/>
          <w:lang w:val="pl-PL"/>
        </w:rPr>
        <w:t xml:space="preserve"> cho bên thụ hưởng được thực hiện vào ngày làm việc tiếp theo</w:t>
      </w:r>
      <w:r w:rsidR="00625716">
        <w:rPr>
          <w:bCs/>
          <w:lang w:val="pl-PL"/>
        </w:rPr>
        <w:t>.</w:t>
      </w:r>
      <w:r w:rsidR="000F2C39">
        <w:rPr>
          <w:lang w:val="pt-BR"/>
        </w:rPr>
        <w:t xml:space="preserve"> </w:t>
      </w:r>
    </w:p>
    <w:p w:rsidR="00A01D41" w:rsidRDefault="00907F04" w:rsidP="007E74A8">
      <w:pPr>
        <w:spacing w:before="120" w:after="120"/>
        <w:ind w:firstLine="601"/>
        <w:jc w:val="both"/>
        <w:rPr>
          <w:bCs/>
          <w:lang w:val="pl-PL"/>
        </w:rPr>
      </w:pPr>
      <w:r>
        <w:rPr>
          <w:lang w:val="pt-BR"/>
        </w:rPr>
        <w:t>3.</w:t>
      </w:r>
      <w:r w:rsidR="000F2C39">
        <w:rPr>
          <w:lang w:val="pt-BR"/>
        </w:rPr>
        <w:t xml:space="preserve"> </w:t>
      </w:r>
      <w:r w:rsidR="00D14190">
        <w:rPr>
          <w:lang w:val="pt-BR"/>
        </w:rPr>
        <w:t xml:space="preserve">Trường hợp </w:t>
      </w:r>
      <w:r w:rsidR="00D14190">
        <w:rPr>
          <w:bCs/>
          <w:lang w:val="pl-PL"/>
        </w:rPr>
        <w:t>k</w:t>
      </w:r>
      <w:r w:rsidR="000F2C39" w:rsidRPr="00B365AC">
        <w:rPr>
          <w:bCs/>
          <w:lang w:val="pl-PL"/>
        </w:rPr>
        <w:t>hách hàng phải sử dụng số tiền vay</w:t>
      </w:r>
      <w:r w:rsidR="000F2C39">
        <w:rPr>
          <w:bCs/>
          <w:lang w:val="pl-PL"/>
        </w:rPr>
        <w:t xml:space="preserve"> bằng Đồng Việt Nam</w:t>
      </w:r>
      <w:r w:rsidR="000F2C39" w:rsidRPr="00B365AC">
        <w:rPr>
          <w:bCs/>
          <w:lang w:val="pl-PL"/>
        </w:rPr>
        <w:t xml:space="preserve"> mua ngoại tệ</w:t>
      </w:r>
      <w:r w:rsidR="000F2C39">
        <w:rPr>
          <w:bCs/>
          <w:lang w:val="pl-PL"/>
        </w:rPr>
        <w:t xml:space="preserve"> nhiều lần để</w:t>
      </w:r>
      <w:r w:rsidR="000F2C39" w:rsidRPr="00B365AC">
        <w:rPr>
          <w:bCs/>
          <w:lang w:val="pl-PL"/>
        </w:rPr>
        <w:t xml:space="preserve"> thanh toán</w:t>
      </w:r>
      <w:r w:rsidR="00670279">
        <w:rPr>
          <w:bCs/>
          <w:lang w:val="pl-PL"/>
        </w:rPr>
        <w:t>, chi trả</w:t>
      </w:r>
      <w:r w:rsidR="000F2C39" w:rsidRPr="00B365AC">
        <w:rPr>
          <w:bCs/>
          <w:lang w:val="pl-PL"/>
        </w:rPr>
        <w:t xml:space="preserve"> </w:t>
      </w:r>
      <w:r w:rsidR="000F2C39">
        <w:rPr>
          <w:bCs/>
          <w:lang w:val="pl-PL"/>
        </w:rPr>
        <w:t xml:space="preserve">cho </w:t>
      </w:r>
      <w:r w:rsidR="000F2C39" w:rsidRPr="00B365AC">
        <w:rPr>
          <w:bCs/>
          <w:lang w:val="pl-PL"/>
        </w:rPr>
        <w:t xml:space="preserve">bên thụ hưởng theo mục đích vay vốn ghi trong </w:t>
      </w:r>
      <w:r w:rsidR="000F2C39">
        <w:rPr>
          <w:bCs/>
          <w:lang w:val="pl-PL"/>
        </w:rPr>
        <w:t>thỏa thuận cho vay</w:t>
      </w:r>
      <w:r w:rsidR="008936FC">
        <w:rPr>
          <w:bCs/>
          <w:lang w:val="pl-PL"/>
        </w:rPr>
        <w:t xml:space="preserve">: </w:t>
      </w:r>
    </w:p>
    <w:p w:rsidR="00A01D41" w:rsidRDefault="00907F04" w:rsidP="007E74A8">
      <w:pPr>
        <w:spacing w:before="120" w:after="120"/>
        <w:ind w:firstLine="560"/>
        <w:jc w:val="both"/>
        <w:rPr>
          <w:bCs/>
          <w:lang w:val="pl-PL"/>
        </w:rPr>
      </w:pPr>
      <w:r>
        <w:rPr>
          <w:bCs/>
          <w:lang w:val="pl-PL"/>
        </w:rPr>
        <w:t>a</w:t>
      </w:r>
      <w:r w:rsidR="000F2C39">
        <w:rPr>
          <w:bCs/>
          <w:lang w:val="pl-PL"/>
        </w:rPr>
        <w:t>)</w:t>
      </w:r>
      <w:r w:rsidR="0096235A">
        <w:rPr>
          <w:bCs/>
          <w:lang w:val="pl-PL"/>
        </w:rPr>
        <w:t xml:space="preserve"> Khách hàng mua ngoại tệ của</w:t>
      </w:r>
      <w:r w:rsidR="00A134E3">
        <w:rPr>
          <w:bCs/>
          <w:lang w:val="pl-PL"/>
        </w:rPr>
        <w:t xml:space="preserve"> chính</w:t>
      </w:r>
      <w:r w:rsidR="0096235A">
        <w:rPr>
          <w:bCs/>
          <w:lang w:val="pl-PL"/>
        </w:rPr>
        <w:t xml:space="preserve"> tổ chức tín dụng cho vay:</w:t>
      </w:r>
    </w:p>
    <w:p w:rsidR="00A01D41" w:rsidRDefault="0096235A" w:rsidP="007E74A8">
      <w:pPr>
        <w:spacing w:before="120" w:after="120"/>
        <w:ind w:firstLine="560"/>
        <w:jc w:val="both"/>
        <w:rPr>
          <w:lang w:val="pl-PL"/>
        </w:rPr>
      </w:pPr>
      <w:r>
        <w:rPr>
          <w:bCs/>
          <w:lang w:val="pl-PL"/>
        </w:rPr>
        <w:t xml:space="preserve">(i) </w:t>
      </w:r>
      <w:r w:rsidR="008D7D61">
        <w:rPr>
          <w:bCs/>
          <w:lang w:val="pl-PL"/>
        </w:rPr>
        <w:t>Trường hợp khách hàng sử dụng dịch vụ quản lý tài chính tập trung tại tổ chức tín dụng, chi nhánh ngân hàng nước ngoài khác không phải là tổ chức tín dụng cho vay: Khi có ngoại tệ bán cho khách hàng, tổ chức tín dụng cho vay thực hiện giải ngân vốn cho vay</w:t>
      </w:r>
      <w:r w:rsidR="00636677">
        <w:rPr>
          <w:bCs/>
          <w:lang w:val="pl-PL"/>
        </w:rPr>
        <w:t>;</w:t>
      </w:r>
      <w:r w:rsidR="008D7D61">
        <w:rPr>
          <w:bCs/>
          <w:lang w:val="pl-PL"/>
        </w:rPr>
        <w:t xml:space="preserve"> số ngoại tệ bán từng lần được tổ chức tín dụng cho vay chuyển ngay vào tài khoản tiền gửi vốn chuyên dùng</w:t>
      </w:r>
      <w:r w:rsidR="008D7D61" w:rsidRPr="00E43622">
        <w:rPr>
          <w:bCs/>
          <w:lang w:val="pl-PL"/>
        </w:rPr>
        <w:t xml:space="preserve"> của khách hàng mở tại </w:t>
      </w:r>
      <w:r w:rsidR="008D7D61">
        <w:rPr>
          <w:bCs/>
          <w:lang w:val="pl-PL"/>
        </w:rPr>
        <w:t>tổ chức tín dụng</w:t>
      </w:r>
      <w:r w:rsidR="008D7D61" w:rsidRPr="00E43622">
        <w:rPr>
          <w:bCs/>
          <w:lang w:val="pl-PL"/>
        </w:rPr>
        <w:t xml:space="preserve"> </w:t>
      </w:r>
      <w:r w:rsidR="008D7D61">
        <w:rPr>
          <w:bCs/>
          <w:lang w:val="pl-PL"/>
        </w:rPr>
        <w:t>quản lý tài chính.</w:t>
      </w:r>
      <w:r w:rsidR="008D7D61" w:rsidRPr="00DB3FE7">
        <w:rPr>
          <w:bCs/>
          <w:lang w:val="pl-PL"/>
        </w:rPr>
        <w:t xml:space="preserve"> </w:t>
      </w:r>
      <w:r w:rsidR="008D7D61" w:rsidRPr="00F06901">
        <w:rPr>
          <w:bCs/>
          <w:lang w:val="pl-PL"/>
        </w:rPr>
        <w:t xml:space="preserve">Tổ chức tín dụng </w:t>
      </w:r>
      <w:r w:rsidR="008D7D61" w:rsidRPr="00F06901">
        <w:rPr>
          <w:lang w:val="pl-PL"/>
        </w:rPr>
        <w:t xml:space="preserve">quản lý tài chính sử dụng </w:t>
      </w:r>
      <w:r w:rsidR="008D7D61">
        <w:rPr>
          <w:lang w:val="pl-PL"/>
        </w:rPr>
        <w:t>dịch vụ</w:t>
      </w:r>
      <w:r w:rsidR="008D7D61" w:rsidRPr="00F06901">
        <w:rPr>
          <w:lang w:val="pl-PL"/>
        </w:rPr>
        <w:t xml:space="preserve"> thanh toán không dùng tiền mặt để thực hiện việc </w:t>
      </w:r>
      <w:r w:rsidR="008D7D61" w:rsidRPr="00F06901">
        <w:rPr>
          <w:bCs/>
          <w:lang w:val="pl-PL"/>
        </w:rPr>
        <w:t>thanh toán</w:t>
      </w:r>
      <w:r w:rsidR="008D7D61">
        <w:rPr>
          <w:bCs/>
          <w:lang w:val="pl-PL"/>
        </w:rPr>
        <w:t>, chi trả</w:t>
      </w:r>
      <w:r w:rsidR="008D7D61" w:rsidRPr="00F06901">
        <w:rPr>
          <w:bCs/>
          <w:lang w:val="pl-PL"/>
        </w:rPr>
        <w:t xml:space="preserve"> cho bên thụ hưởng </w:t>
      </w:r>
      <w:r w:rsidR="008D7D61" w:rsidRPr="00F06901">
        <w:rPr>
          <w:lang w:val="pl-PL"/>
        </w:rPr>
        <w:t xml:space="preserve">theo yêu cầu của </w:t>
      </w:r>
      <w:r w:rsidR="008D7D61">
        <w:rPr>
          <w:bCs/>
          <w:lang w:val="pl-PL"/>
        </w:rPr>
        <w:t>tổ chức tín dụng cho vay</w:t>
      </w:r>
      <w:r w:rsidR="008D7D61" w:rsidRPr="00F06901">
        <w:rPr>
          <w:lang w:val="pl-PL"/>
        </w:rPr>
        <w:t>, phù hợp với quy định tại Thông tư này</w:t>
      </w:r>
      <w:r w:rsidR="00C93AE4">
        <w:rPr>
          <w:lang w:val="pl-PL"/>
        </w:rPr>
        <w:t>;</w:t>
      </w:r>
      <w:r>
        <w:rPr>
          <w:lang w:val="pl-PL"/>
        </w:rPr>
        <w:t xml:space="preserve"> </w:t>
      </w:r>
    </w:p>
    <w:p w:rsidR="00A01D41" w:rsidRDefault="0096235A" w:rsidP="007E74A8">
      <w:pPr>
        <w:spacing w:before="120" w:after="120"/>
        <w:ind w:firstLine="540"/>
        <w:jc w:val="both"/>
        <w:rPr>
          <w:lang w:val="pl-PL"/>
        </w:rPr>
      </w:pPr>
      <w:r>
        <w:rPr>
          <w:bCs/>
          <w:lang w:val="pl-PL"/>
        </w:rPr>
        <w:t xml:space="preserve">(ii) </w:t>
      </w:r>
      <w:r w:rsidR="008D7D61">
        <w:rPr>
          <w:bCs/>
          <w:lang w:val="pl-PL"/>
        </w:rPr>
        <w:t xml:space="preserve">Trường hợp khách hàng không sử dụng dịch vụ quản lý tài chính tập trung hoặc sử dụng </w:t>
      </w:r>
      <w:r w:rsidR="008D7D61" w:rsidRPr="001935A5">
        <w:rPr>
          <w:bCs/>
          <w:lang w:val="pl-PL"/>
        </w:rPr>
        <w:t>dịch vụ quản lý tài chính tập trung</w:t>
      </w:r>
      <w:r w:rsidR="008D7D61" w:rsidRPr="001935A5" w:rsidDel="00507216">
        <w:rPr>
          <w:bCs/>
          <w:lang w:val="pl-PL"/>
        </w:rPr>
        <w:t xml:space="preserve"> </w:t>
      </w:r>
      <w:r w:rsidR="008D7D61">
        <w:rPr>
          <w:bCs/>
          <w:lang w:val="pl-PL"/>
        </w:rPr>
        <w:t>tại</w:t>
      </w:r>
      <w:r w:rsidR="008D7D61" w:rsidRPr="001935A5">
        <w:rPr>
          <w:bCs/>
          <w:lang w:val="pl-PL"/>
        </w:rPr>
        <w:t xml:space="preserve"> tổ chức tín dụng cho vay</w:t>
      </w:r>
      <w:r w:rsidR="008D7D61">
        <w:rPr>
          <w:bCs/>
          <w:lang w:val="pl-PL"/>
        </w:rPr>
        <w:t>: Khi có ngoại tệ bán cho khách hàng, tổ chức tín dụng cho vay thực hiện giải ngân vốn cho vay</w:t>
      </w:r>
      <w:r w:rsidR="00636677">
        <w:rPr>
          <w:bCs/>
          <w:lang w:val="pl-PL"/>
        </w:rPr>
        <w:t>;</w:t>
      </w:r>
      <w:r w:rsidR="008D7D61" w:rsidRPr="001935A5">
        <w:rPr>
          <w:bCs/>
          <w:lang w:val="pl-PL"/>
        </w:rPr>
        <w:t xml:space="preserve"> </w:t>
      </w:r>
      <w:r w:rsidR="008D7D61">
        <w:rPr>
          <w:bCs/>
          <w:lang w:val="pl-PL"/>
        </w:rPr>
        <w:t>số ngoại tệ bán từng lần được chuyển ngay vào tài khoản tiền gửi vốn chuyên dùng</w:t>
      </w:r>
      <w:r w:rsidR="008D7D61" w:rsidRPr="00E43622">
        <w:rPr>
          <w:bCs/>
          <w:lang w:val="pl-PL"/>
        </w:rPr>
        <w:t xml:space="preserve"> của khách hàng mở tại </w:t>
      </w:r>
      <w:r w:rsidR="008D7D61">
        <w:rPr>
          <w:bCs/>
          <w:lang w:val="pl-PL"/>
        </w:rPr>
        <w:t>tổ chức tín dụng</w:t>
      </w:r>
      <w:r w:rsidR="008D7D61" w:rsidRPr="00E43622">
        <w:rPr>
          <w:bCs/>
          <w:lang w:val="pl-PL"/>
        </w:rPr>
        <w:t xml:space="preserve"> </w:t>
      </w:r>
      <w:r w:rsidR="008D7D61">
        <w:rPr>
          <w:bCs/>
          <w:lang w:val="pl-PL"/>
        </w:rPr>
        <w:t>cho vay</w:t>
      </w:r>
      <w:r w:rsidR="008D7D61" w:rsidRPr="00F06901">
        <w:rPr>
          <w:bCs/>
          <w:lang w:val="pl-PL"/>
        </w:rPr>
        <w:t xml:space="preserve">. Tổ chức tín dụng </w:t>
      </w:r>
      <w:r w:rsidR="008D7D61" w:rsidRPr="00F06901">
        <w:rPr>
          <w:lang w:val="pl-PL"/>
        </w:rPr>
        <w:t xml:space="preserve">cho vay sử dụng </w:t>
      </w:r>
      <w:r w:rsidR="008D7D61">
        <w:rPr>
          <w:lang w:val="pl-PL"/>
        </w:rPr>
        <w:t>dịch vụ</w:t>
      </w:r>
      <w:r w:rsidR="008D7D61" w:rsidRPr="00F06901">
        <w:rPr>
          <w:lang w:val="pl-PL"/>
        </w:rPr>
        <w:t xml:space="preserve"> thanh toán không dùng tiền mặt để thực hiện việc </w:t>
      </w:r>
      <w:r w:rsidR="008D7D61" w:rsidRPr="00F06901">
        <w:rPr>
          <w:bCs/>
          <w:lang w:val="pl-PL"/>
        </w:rPr>
        <w:t>thanh toán</w:t>
      </w:r>
      <w:r w:rsidR="008D7D61">
        <w:rPr>
          <w:bCs/>
          <w:lang w:val="pl-PL"/>
        </w:rPr>
        <w:t>, chi trả</w:t>
      </w:r>
      <w:r w:rsidR="008D7D61" w:rsidRPr="00F06901">
        <w:rPr>
          <w:bCs/>
          <w:lang w:val="pl-PL"/>
        </w:rPr>
        <w:t xml:space="preserve"> cho bên thụ hưởng </w:t>
      </w:r>
      <w:r w:rsidR="008D7D61" w:rsidRPr="00F06901">
        <w:rPr>
          <w:lang w:val="pl-PL"/>
        </w:rPr>
        <w:t>phù hợp với quy định tại Thông tư này</w:t>
      </w:r>
      <w:r w:rsidR="00C93AE4">
        <w:rPr>
          <w:lang w:val="pl-PL"/>
        </w:rPr>
        <w:t>.</w:t>
      </w:r>
    </w:p>
    <w:p w:rsidR="00A01D41" w:rsidRDefault="0096235A" w:rsidP="007E74A8">
      <w:pPr>
        <w:spacing w:before="120" w:after="120"/>
        <w:ind w:firstLine="540"/>
        <w:jc w:val="both"/>
        <w:rPr>
          <w:bCs/>
          <w:lang w:val="pl-PL"/>
        </w:rPr>
      </w:pPr>
      <w:r>
        <w:rPr>
          <w:bCs/>
          <w:lang w:val="pl-PL"/>
        </w:rPr>
        <w:t xml:space="preserve">b) Khách hàng mua ngoại tệ của tổ chức tín dụng, chi nhánh ngân hàng nước ngoài khác </w:t>
      </w:r>
      <w:r w:rsidR="00205792" w:rsidRPr="00205792">
        <w:rPr>
          <w:bCs/>
          <w:lang w:val="pl-PL"/>
        </w:rPr>
        <w:t>(bao gồm cả tổ chức tín dụng quản lý tài chính)</w:t>
      </w:r>
      <w:r w:rsidR="00205792">
        <w:rPr>
          <w:bCs/>
          <w:lang w:val="pl-PL"/>
        </w:rPr>
        <w:t xml:space="preserve"> </w:t>
      </w:r>
      <w:r>
        <w:rPr>
          <w:bCs/>
          <w:lang w:val="pl-PL"/>
        </w:rPr>
        <w:t>không phải là tổ chức tín dụng cho vay:</w:t>
      </w:r>
    </w:p>
    <w:p w:rsidR="00A01D41" w:rsidRDefault="0096235A" w:rsidP="007E74A8">
      <w:pPr>
        <w:spacing w:before="120" w:after="120"/>
        <w:ind w:firstLine="540"/>
        <w:jc w:val="both"/>
        <w:rPr>
          <w:lang w:val="pt-BR"/>
        </w:rPr>
      </w:pPr>
      <w:r>
        <w:rPr>
          <w:bCs/>
          <w:lang w:val="pl-PL"/>
        </w:rPr>
        <w:t xml:space="preserve">(i) </w:t>
      </w:r>
      <w:r w:rsidR="00205792">
        <w:rPr>
          <w:bCs/>
          <w:lang w:val="pl-PL"/>
        </w:rPr>
        <w:t>Trường hợp khách hàng sử dụng dịch vụ quản lý tài chính tập trung tại tổ chức tín dụng, chi nhánh ngân hàng nước ngoài khác không phải là tổ chức tín dụng cho vay</w:t>
      </w:r>
      <w:r w:rsidR="000F2C39">
        <w:rPr>
          <w:bCs/>
          <w:lang w:val="pl-PL"/>
        </w:rPr>
        <w:t>:</w:t>
      </w:r>
      <w:r w:rsidR="000F2C39" w:rsidRPr="00B365AC">
        <w:rPr>
          <w:bCs/>
          <w:lang w:val="pl-PL"/>
        </w:rPr>
        <w:t xml:space="preserve"> </w:t>
      </w:r>
      <w:r w:rsidR="000F2C39">
        <w:rPr>
          <w:bCs/>
          <w:lang w:val="pl-PL"/>
        </w:rPr>
        <w:t xml:space="preserve">Sau khi nhận được số tiền giải ngân từ tổ chức tín dụng cho vay, tổ chức tín dụng, chi nhánh ngân hàng nước ngoài bán ngoại tệ cho khách hàng </w:t>
      </w:r>
      <w:r w:rsidR="000F2C39">
        <w:rPr>
          <w:bCs/>
          <w:lang w:val="pl-PL"/>
        </w:rPr>
        <w:lastRenderedPageBreak/>
        <w:t xml:space="preserve">và chuyển </w:t>
      </w:r>
      <w:r w:rsidR="000F2C39" w:rsidRPr="00B365AC">
        <w:rPr>
          <w:bCs/>
          <w:lang w:val="pl-PL"/>
        </w:rPr>
        <w:t>số ngoại tệ này</w:t>
      </w:r>
      <w:r w:rsidR="000F2C39" w:rsidRPr="00B365AC">
        <w:rPr>
          <w:bCs/>
          <w:i/>
          <w:lang w:val="pl-PL"/>
        </w:rPr>
        <w:t xml:space="preserve"> </w:t>
      </w:r>
      <w:r w:rsidR="000F2C39">
        <w:rPr>
          <w:bCs/>
          <w:lang w:val="pl-PL"/>
        </w:rPr>
        <w:t>vào tài khoản tiền gửi vốn chuyên dùng</w:t>
      </w:r>
      <w:r w:rsidR="000F2C39" w:rsidRPr="00E43622">
        <w:rPr>
          <w:bCs/>
          <w:lang w:val="pl-PL"/>
        </w:rPr>
        <w:t xml:space="preserve"> của khách hàng mở tại </w:t>
      </w:r>
      <w:r w:rsidR="000F2C39">
        <w:rPr>
          <w:bCs/>
          <w:lang w:val="pl-PL"/>
        </w:rPr>
        <w:t>tổ chức tín dụng</w:t>
      </w:r>
      <w:r w:rsidR="000F2C39" w:rsidRPr="00E43622">
        <w:rPr>
          <w:bCs/>
          <w:lang w:val="pl-PL"/>
        </w:rPr>
        <w:t xml:space="preserve"> </w:t>
      </w:r>
      <w:r w:rsidR="000F2C39" w:rsidRPr="00E43622">
        <w:rPr>
          <w:lang w:val="pl-PL"/>
        </w:rPr>
        <w:t xml:space="preserve">quản lý tài chính. </w:t>
      </w:r>
      <w:r w:rsidR="000F2C39" w:rsidRPr="00F06901">
        <w:rPr>
          <w:bCs/>
          <w:lang w:val="pl-PL"/>
        </w:rPr>
        <w:t xml:space="preserve">Tổ chức tín dụng </w:t>
      </w:r>
      <w:r w:rsidR="000F2C39" w:rsidRPr="00F06901">
        <w:rPr>
          <w:lang w:val="pl-PL"/>
        </w:rPr>
        <w:t xml:space="preserve">quản lý tài chính sử dụng </w:t>
      </w:r>
      <w:r w:rsidR="000F2C39">
        <w:rPr>
          <w:lang w:val="pl-PL"/>
        </w:rPr>
        <w:t>dịch vụ</w:t>
      </w:r>
      <w:r w:rsidR="000F2C39" w:rsidRPr="00F06901">
        <w:rPr>
          <w:lang w:val="pl-PL"/>
        </w:rPr>
        <w:t xml:space="preserve"> thanh toán không dùng tiền mặt để thực hiện việc </w:t>
      </w:r>
      <w:r w:rsidR="000F2C39" w:rsidRPr="00F06901">
        <w:rPr>
          <w:bCs/>
          <w:lang w:val="pl-PL"/>
        </w:rPr>
        <w:t>thanh toán</w:t>
      </w:r>
      <w:r w:rsidR="00670279">
        <w:rPr>
          <w:bCs/>
          <w:lang w:val="pl-PL"/>
        </w:rPr>
        <w:t>, chi trả</w:t>
      </w:r>
      <w:r w:rsidR="000F2C39" w:rsidRPr="00F06901">
        <w:rPr>
          <w:bCs/>
          <w:lang w:val="pl-PL"/>
        </w:rPr>
        <w:t xml:space="preserve"> cho bên thụ hưởng </w:t>
      </w:r>
      <w:r w:rsidR="000F2C39" w:rsidRPr="00F06901">
        <w:rPr>
          <w:lang w:val="pl-PL"/>
        </w:rPr>
        <w:t xml:space="preserve">theo yêu cầu của </w:t>
      </w:r>
      <w:r w:rsidR="000F2C39">
        <w:rPr>
          <w:bCs/>
          <w:lang w:val="pl-PL"/>
        </w:rPr>
        <w:t>tổ chức tín dụng cho vay</w:t>
      </w:r>
      <w:r w:rsidR="000F2C39" w:rsidRPr="00F06901">
        <w:rPr>
          <w:lang w:val="pl-PL"/>
        </w:rPr>
        <w:t>, phù hợp với quy định tại Thông tư này</w:t>
      </w:r>
      <w:r w:rsidR="000F2C39">
        <w:rPr>
          <w:lang w:val="pl-PL"/>
        </w:rPr>
        <w:t>;</w:t>
      </w:r>
    </w:p>
    <w:p w:rsidR="00A01D41" w:rsidRDefault="0096235A" w:rsidP="007E74A8">
      <w:pPr>
        <w:spacing w:before="120" w:after="120"/>
        <w:ind w:firstLine="560"/>
        <w:jc w:val="both"/>
        <w:rPr>
          <w:lang w:val="pl-PL"/>
        </w:rPr>
      </w:pPr>
      <w:r>
        <w:rPr>
          <w:bCs/>
          <w:lang w:val="pl-PL"/>
        </w:rPr>
        <w:t>(ii)</w:t>
      </w:r>
      <w:r w:rsidR="000F2C39">
        <w:rPr>
          <w:bCs/>
          <w:lang w:val="pl-PL"/>
        </w:rPr>
        <w:t xml:space="preserve"> </w:t>
      </w:r>
      <w:r>
        <w:rPr>
          <w:bCs/>
          <w:lang w:val="pl-PL"/>
        </w:rPr>
        <w:t>Trường hợp k</w:t>
      </w:r>
      <w:r w:rsidR="000F2C39">
        <w:rPr>
          <w:bCs/>
          <w:lang w:val="pl-PL"/>
        </w:rPr>
        <w:t>hách hàng không sử dụng dịch vụ quản lý tài chính tập trung</w:t>
      </w:r>
      <w:r w:rsidR="009C3E13">
        <w:rPr>
          <w:bCs/>
          <w:lang w:val="pl-PL"/>
        </w:rPr>
        <w:t xml:space="preserve"> hoặc sử dụng </w:t>
      </w:r>
      <w:r w:rsidR="009C3E13" w:rsidRPr="001935A5">
        <w:rPr>
          <w:bCs/>
          <w:lang w:val="pl-PL"/>
        </w:rPr>
        <w:t>dịch vụ quản lý tài chính tập trung</w:t>
      </w:r>
      <w:r w:rsidR="009C3E13" w:rsidRPr="001935A5" w:rsidDel="00507216">
        <w:rPr>
          <w:bCs/>
          <w:lang w:val="pl-PL"/>
        </w:rPr>
        <w:t xml:space="preserve"> </w:t>
      </w:r>
      <w:r w:rsidR="009C3E13">
        <w:rPr>
          <w:bCs/>
          <w:lang w:val="pl-PL"/>
        </w:rPr>
        <w:t>tại</w:t>
      </w:r>
      <w:r w:rsidR="009C3E13" w:rsidRPr="001935A5">
        <w:rPr>
          <w:bCs/>
          <w:lang w:val="pl-PL"/>
        </w:rPr>
        <w:t xml:space="preserve"> tổ chức tín dụng cho vay</w:t>
      </w:r>
      <w:r w:rsidR="000F2C39">
        <w:rPr>
          <w:bCs/>
          <w:lang w:val="pl-PL"/>
        </w:rPr>
        <w:t>:</w:t>
      </w:r>
      <w:r w:rsidR="000F2C39" w:rsidRPr="00B365AC">
        <w:rPr>
          <w:bCs/>
          <w:lang w:val="pl-PL"/>
        </w:rPr>
        <w:t xml:space="preserve"> </w:t>
      </w:r>
      <w:r w:rsidR="000F2C39">
        <w:rPr>
          <w:bCs/>
          <w:lang w:val="pl-PL"/>
        </w:rPr>
        <w:t xml:space="preserve">Sau khi nhận được số tiền giải ngân từ tổ chức tín dụng cho vay, tổ chức tín dụng, chi nhánh ngân hàng nước ngoài bán ngoại tệ cho khách hàng và chuyển </w:t>
      </w:r>
      <w:r w:rsidR="000F2C39" w:rsidRPr="00B365AC">
        <w:rPr>
          <w:bCs/>
          <w:lang w:val="pl-PL"/>
        </w:rPr>
        <w:t>số ngoại tệ này</w:t>
      </w:r>
      <w:r w:rsidR="000F2C39" w:rsidRPr="00B365AC">
        <w:rPr>
          <w:bCs/>
          <w:i/>
          <w:lang w:val="pl-PL"/>
        </w:rPr>
        <w:t xml:space="preserve"> </w:t>
      </w:r>
      <w:r w:rsidR="000F2C39">
        <w:rPr>
          <w:bCs/>
          <w:lang w:val="pl-PL"/>
        </w:rPr>
        <w:t>vào tài khoản tiền gửi vốn chuyên dùng</w:t>
      </w:r>
      <w:r w:rsidR="000F2C39" w:rsidRPr="00E43622">
        <w:rPr>
          <w:bCs/>
          <w:lang w:val="pl-PL"/>
        </w:rPr>
        <w:t xml:space="preserve"> của khách hàng mở tại </w:t>
      </w:r>
      <w:r w:rsidR="000F2C39">
        <w:rPr>
          <w:bCs/>
          <w:lang w:val="pl-PL"/>
        </w:rPr>
        <w:t>tổ chức tín dụng</w:t>
      </w:r>
      <w:r w:rsidR="000F2C39" w:rsidRPr="00E43622">
        <w:rPr>
          <w:bCs/>
          <w:lang w:val="pl-PL"/>
        </w:rPr>
        <w:t xml:space="preserve"> </w:t>
      </w:r>
      <w:r w:rsidR="000F2C39">
        <w:rPr>
          <w:lang w:val="pl-PL"/>
        </w:rPr>
        <w:t>cho vay</w:t>
      </w:r>
      <w:r w:rsidR="000F2C39" w:rsidRPr="00E43622">
        <w:rPr>
          <w:lang w:val="pl-PL"/>
        </w:rPr>
        <w:t xml:space="preserve">. </w:t>
      </w:r>
      <w:r w:rsidR="000F2C39" w:rsidRPr="00F06901">
        <w:rPr>
          <w:bCs/>
          <w:lang w:val="pl-PL"/>
        </w:rPr>
        <w:t xml:space="preserve">Tổ chức tín dụng </w:t>
      </w:r>
      <w:r w:rsidR="000F2C39" w:rsidRPr="00F06901">
        <w:rPr>
          <w:lang w:val="pl-PL"/>
        </w:rPr>
        <w:t xml:space="preserve">cho vay sử dụng </w:t>
      </w:r>
      <w:r w:rsidR="000F2C39">
        <w:rPr>
          <w:lang w:val="pl-PL"/>
        </w:rPr>
        <w:t>dịch vụ</w:t>
      </w:r>
      <w:r w:rsidR="000F2C39" w:rsidRPr="00F06901">
        <w:rPr>
          <w:lang w:val="pl-PL"/>
        </w:rPr>
        <w:t xml:space="preserve"> thanh toán không dùng tiền mặt để thực hiện việc </w:t>
      </w:r>
      <w:r w:rsidR="000F2C39" w:rsidRPr="00F06901">
        <w:rPr>
          <w:bCs/>
          <w:lang w:val="pl-PL"/>
        </w:rPr>
        <w:t>thanh toán</w:t>
      </w:r>
      <w:r w:rsidR="00670279">
        <w:rPr>
          <w:bCs/>
          <w:lang w:val="pl-PL"/>
        </w:rPr>
        <w:t>, chi trả</w:t>
      </w:r>
      <w:r w:rsidR="000F2C39" w:rsidRPr="00F06901">
        <w:rPr>
          <w:bCs/>
          <w:lang w:val="pl-PL"/>
        </w:rPr>
        <w:t xml:space="preserve"> cho bên thụ hưởng </w:t>
      </w:r>
      <w:r w:rsidR="000F2C39" w:rsidRPr="00F06901">
        <w:rPr>
          <w:lang w:val="pl-PL"/>
        </w:rPr>
        <w:t>phù hợp với quy định tại Thông tư này</w:t>
      </w:r>
      <w:r w:rsidR="008D7D61">
        <w:rPr>
          <w:lang w:val="pl-PL"/>
        </w:rPr>
        <w:t>.</w:t>
      </w:r>
    </w:p>
    <w:p w:rsidR="00A01D41" w:rsidRDefault="00F76D6E" w:rsidP="007E74A8">
      <w:pPr>
        <w:spacing w:before="100" w:after="100"/>
        <w:ind w:firstLine="560"/>
        <w:jc w:val="both"/>
        <w:rPr>
          <w:b/>
          <w:lang w:val="pl-PL"/>
        </w:rPr>
      </w:pPr>
      <w:r>
        <w:rPr>
          <w:b/>
          <w:bCs/>
          <w:lang w:val="pl-PL"/>
        </w:rPr>
        <w:t xml:space="preserve">Điều </w:t>
      </w:r>
      <w:r w:rsidR="00693D1C">
        <w:rPr>
          <w:b/>
          <w:bCs/>
          <w:lang w:val="pl-PL"/>
        </w:rPr>
        <w:t>8</w:t>
      </w:r>
      <w:r>
        <w:rPr>
          <w:b/>
          <w:bCs/>
          <w:lang w:val="pl-PL"/>
        </w:rPr>
        <w:t xml:space="preserve">. </w:t>
      </w:r>
      <w:r w:rsidRPr="004653A7">
        <w:rPr>
          <w:b/>
          <w:lang w:val="pl-PL"/>
        </w:rPr>
        <w:t>Các quy định khác</w:t>
      </w:r>
    </w:p>
    <w:p w:rsidR="00A01D41" w:rsidRDefault="00F76D6E" w:rsidP="007E74A8">
      <w:pPr>
        <w:spacing w:before="100" w:after="100"/>
        <w:ind w:firstLine="560"/>
        <w:jc w:val="both"/>
        <w:rPr>
          <w:lang w:val="pl-PL"/>
        </w:rPr>
      </w:pPr>
      <w:r>
        <w:rPr>
          <w:lang w:val="pl-PL"/>
        </w:rPr>
        <w:t>1. Đối với</w:t>
      </w:r>
      <w:r w:rsidRPr="004653A7">
        <w:rPr>
          <w:lang w:val="pl-PL"/>
        </w:rPr>
        <w:t xml:space="preserve"> tổ chức tín dụng</w:t>
      </w:r>
      <w:r>
        <w:rPr>
          <w:lang w:val="pl-PL"/>
        </w:rPr>
        <w:t xml:space="preserve"> cho vay</w:t>
      </w:r>
      <w:r w:rsidRPr="004653A7">
        <w:rPr>
          <w:lang w:val="pl-PL"/>
        </w:rPr>
        <w:t xml:space="preserve">: </w:t>
      </w:r>
    </w:p>
    <w:p w:rsidR="00A01D41" w:rsidRDefault="00F76D6E" w:rsidP="007E74A8">
      <w:pPr>
        <w:pStyle w:val="Than"/>
        <w:spacing w:before="100" w:after="100"/>
        <w:rPr>
          <w:rFonts w:ascii="Times New Roman" w:hAnsi="Times New Roman"/>
          <w:sz w:val="28"/>
          <w:szCs w:val="28"/>
          <w:lang w:val="pl-PL"/>
        </w:rPr>
      </w:pPr>
      <w:r w:rsidRPr="00D451AA">
        <w:rPr>
          <w:rFonts w:ascii="Times New Roman" w:hAnsi="Times New Roman"/>
          <w:sz w:val="28"/>
          <w:szCs w:val="28"/>
          <w:lang w:val="pl-PL"/>
        </w:rPr>
        <w:t xml:space="preserve">a) </w:t>
      </w:r>
      <w:r w:rsidR="00D47645">
        <w:rPr>
          <w:rFonts w:ascii="Times New Roman" w:hAnsi="Times New Roman"/>
          <w:sz w:val="28"/>
          <w:szCs w:val="28"/>
          <w:lang w:val="pl-PL"/>
        </w:rPr>
        <w:t>X</w:t>
      </w:r>
      <w:r w:rsidR="00D47645" w:rsidRPr="00D451AA">
        <w:rPr>
          <w:rFonts w:ascii="Times New Roman" w:hAnsi="Times New Roman"/>
          <w:bCs/>
          <w:sz w:val="28"/>
          <w:szCs w:val="28"/>
          <w:lang w:val="pl-PL"/>
        </w:rPr>
        <w:t xml:space="preserve">em xét quyết định việc áp dụng phương thức giải ngân vốn cho vay theo quy định tại Thông tư này </w:t>
      </w:r>
      <w:r w:rsidR="00D47645">
        <w:rPr>
          <w:rFonts w:ascii="Times New Roman" w:hAnsi="Times New Roman"/>
          <w:sz w:val="28"/>
          <w:szCs w:val="28"/>
          <w:lang w:val="pl-PL"/>
        </w:rPr>
        <w:t>t</w:t>
      </w:r>
      <w:r w:rsidRPr="00D451AA">
        <w:rPr>
          <w:rFonts w:ascii="Times New Roman" w:hAnsi="Times New Roman"/>
          <w:sz w:val="28"/>
          <w:szCs w:val="28"/>
          <w:lang w:val="pl-PL"/>
        </w:rPr>
        <w:t>rên cơ sở t</w:t>
      </w:r>
      <w:r w:rsidRPr="00D451AA">
        <w:rPr>
          <w:rFonts w:ascii="Times New Roman" w:hAnsi="Times New Roman"/>
          <w:bCs/>
          <w:sz w:val="28"/>
          <w:szCs w:val="28"/>
          <w:lang w:val="pl-PL"/>
        </w:rPr>
        <w:t>hông tin, tài liệu, chứng từ thanh toán do khách hàng cung cấp</w:t>
      </w:r>
      <w:r w:rsidR="000271E5">
        <w:rPr>
          <w:rFonts w:ascii="Times New Roman" w:hAnsi="Times New Roman"/>
          <w:bCs/>
          <w:sz w:val="28"/>
          <w:szCs w:val="28"/>
          <w:lang w:val="pl-PL"/>
        </w:rPr>
        <w:t xml:space="preserve"> và</w:t>
      </w:r>
      <w:r w:rsidR="007873AB" w:rsidRPr="00D451AA">
        <w:rPr>
          <w:rFonts w:ascii="Times New Roman" w:hAnsi="Times New Roman"/>
          <w:bCs/>
          <w:sz w:val="28"/>
          <w:szCs w:val="28"/>
          <w:lang w:val="pl-PL"/>
        </w:rPr>
        <w:t xml:space="preserve"> tự chịu trách nhiệm về quyết định của mình</w:t>
      </w:r>
      <w:r w:rsidR="007873AB">
        <w:rPr>
          <w:rFonts w:ascii="Times New Roman" w:hAnsi="Times New Roman"/>
          <w:bCs/>
          <w:sz w:val="28"/>
          <w:szCs w:val="28"/>
          <w:lang w:val="pl-PL"/>
        </w:rPr>
        <w:t>;</w:t>
      </w:r>
    </w:p>
    <w:p w:rsidR="00A01D41" w:rsidRDefault="00F76D6E" w:rsidP="007E74A8">
      <w:pPr>
        <w:pStyle w:val="Than"/>
        <w:spacing w:before="100" w:after="100"/>
        <w:rPr>
          <w:rFonts w:ascii="Times New Roman" w:hAnsi="Times New Roman"/>
          <w:sz w:val="28"/>
          <w:szCs w:val="28"/>
          <w:lang w:val="pl-PL"/>
        </w:rPr>
      </w:pPr>
      <w:r>
        <w:rPr>
          <w:rFonts w:ascii="Times New Roman" w:hAnsi="Times New Roman"/>
          <w:sz w:val="28"/>
          <w:szCs w:val="28"/>
          <w:lang w:val="pl-PL"/>
        </w:rPr>
        <w:t xml:space="preserve">b) </w:t>
      </w:r>
      <w:r w:rsidR="00111A30">
        <w:rPr>
          <w:rFonts w:ascii="Times New Roman" w:hAnsi="Times New Roman"/>
          <w:sz w:val="28"/>
          <w:szCs w:val="28"/>
          <w:lang w:val="pl-PL"/>
        </w:rPr>
        <w:t>Q</w:t>
      </w:r>
      <w:r w:rsidR="00D765A6" w:rsidRPr="00D765A6">
        <w:rPr>
          <w:rFonts w:ascii="Times New Roman" w:hAnsi="Times New Roman"/>
          <w:sz w:val="28"/>
          <w:szCs w:val="28"/>
          <w:lang w:val="pl-PL"/>
        </w:rPr>
        <w:t xml:space="preserve">uy định về </w:t>
      </w:r>
      <w:r w:rsidR="008A3926" w:rsidRPr="00D451AA">
        <w:rPr>
          <w:rFonts w:ascii="Times New Roman" w:hAnsi="Times New Roman"/>
          <w:bCs/>
          <w:sz w:val="28"/>
          <w:szCs w:val="28"/>
          <w:lang w:val="pl-PL"/>
        </w:rPr>
        <w:t xml:space="preserve">phương thức giải ngân vốn cho vay </w:t>
      </w:r>
      <w:r w:rsidR="00D47645">
        <w:rPr>
          <w:rFonts w:ascii="Times New Roman" w:hAnsi="Times New Roman"/>
          <w:sz w:val="28"/>
          <w:szCs w:val="28"/>
          <w:lang w:val="pl-PL"/>
        </w:rPr>
        <w:t>t</w:t>
      </w:r>
      <w:r w:rsidR="00D765A6" w:rsidRPr="00D765A6">
        <w:rPr>
          <w:rFonts w:ascii="Times New Roman" w:hAnsi="Times New Roman"/>
          <w:sz w:val="28"/>
          <w:szCs w:val="28"/>
          <w:lang w:val="pl-PL"/>
        </w:rPr>
        <w:t>rong quy định nội bộ về cho vay, quản lý tiền vay phù hợp quy định tại Thông tư này và các quy định của pháp luật có liên quan</w:t>
      </w:r>
      <w:r w:rsidR="007873AB">
        <w:rPr>
          <w:rFonts w:ascii="Times New Roman" w:hAnsi="Times New Roman"/>
          <w:sz w:val="28"/>
          <w:szCs w:val="28"/>
          <w:lang w:val="pl-PL"/>
        </w:rPr>
        <w:t>;</w:t>
      </w:r>
    </w:p>
    <w:p w:rsidR="00A01D41" w:rsidRDefault="00D765A6" w:rsidP="007E74A8">
      <w:pPr>
        <w:pStyle w:val="Than"/>
        <w:spacing w:before="100" w:after="100"/>
        <w:rPr>
          <w:rFonts w:ascii="Times New Roman" w:hAnsi="Times New Roman"/>
          <w:sz w:val="28"/>
          <w:szCs w:val="28"/>
          <w:lang w:val="pl-PL"/>
        </w:rPr>
      </w:pPr>
      <w:r w:rsidRPr="00D765A6">
        <w:rPr>
          <w:rFonts w:ascii="Times New Roman" w:hAnsi="Times New Roman"/>
          <w:sz w:val="28"/>
          <w:szCs w:val="28"/>
          <w:lang w:val="pl-PL"/>
        </w:rPr>
        <w:t>c) Kiểm soát chặt chẽ việc giải ngân vốn vay vào tài khoản thanh toán của khách hàng nhằm đảm bảo khách hàng sử dụng vốn vay đúng mục đích vay vốn ghi trong thỏa thuận cho vay</w:t>
      </w:r>
      <w:r w:rsidR="007873AB">
        <w:rPr>
          <w:rFonts w:ascii="Times New Roman" w:hAnsi="Times New Roman"/>
          <w:sz w:val="28"/>
          <w:szCs w:val="28"/>
          <w:lang w:val="pl-PL"/>
        </w:rPr>
        <w:t>;</w:t>
      </w:r>
    </w:p>
    <w:p w:rsidR="00A01D41" w:rsidRDefault="001A1928" w:rsidP="007E74A8">
      <w:pPr>
        <w:pStyle w:val="Than"/>
        <w:spacing w:before="100" w:after="100"/>
        <w:rPr>
          <w:rFonts w:ascii="Times New Roman" w:hAnsi="Times New Roman"/>
          <w:bCs/>
          <w:sz w:val="28"/>
          <w:szCs w:val="28"/>
          <w:lang w:val="pl-PL"/>
        </w:rPr>
      </w:pPr>
      <w:r>
        <w:rPr>
          <w:rFonts w:ascii="Times New Roman" w:hAnsi="Times New Roman"/>
          <w:bCs/>
          <w:sz w:val="28"/>
          <w:szCs w:val="28"/>
          <w:lang w:val="pl-PL"/>
        </w:rPr>
        <w:t>d</w:t>
      </w:r>
      <w:r w:rsidR="00F76D6E">
        <w:rPr>
          <w:rFonts w:ascii="Times New Roman" w:hAnsi="Times New Roman"/>
          <w:bCs/>
          <w:sz w:val="28"/>
          <w:szCs w:val="28"/>
          <w:lang w:val="pl-PL"/>
        </w:rPr>
        <w:t xml:space="preserve">) </w:t>
      </w:r>
      <w:r w:rsidR="00D765A6" w:rsidRPr="00D765A6">
        <w:rPr>
          <w:rFonts w:ascii="Times New Roman" w:hAnsi="Times New Roman"/>
          <w:sz w:val="28"/>
          <w:szCs w:val="28"/>
          <w:lang w:val="pl-PL"/>
        </w:rPr>
        <w:t>T</w:t>
      </w:r>
      <w:r w:rsidR="00F76D6E">
        <w:rPr>
          <w:rFonts w:ascii="Times New Roman" w:hAnsi="Times New Roman"/>
          <w:bCs/>
          <w:sz w:val="28"/>
          <w:szCs w:val="28"/>
          <w:lang w:val="pl-PL"/>
        </w:rPr>
        <w:t xml:space="preserve">hông báo </w:t>
      </w:r>
      <w:r w:rsidR="000271E5">
        <w:rPr>
          <w:rFonts w:ascii="Times New Roman" w:hAnsi="Times New Roman"/>
          <w:bCs/>
          <w:sz w:val="28"/>
          <w:szCs w:val="28"/>
          <w:lang w:val="pl-PL"/>
        </w:rPr>
        <w:t>cho khách hàng</w:t>
      </w:r>
      <w:r w:rsidR="000271E5" w:rsidDel="007873AB">
        <w:rPr>
          <w:rFonts w:ascii="Times New Roman" w:hAnsi="Times New Roman"/>
          <w:bCs/>
          <w:sz w:val="28"/>
          <w:szCs w:val="28"/>
          <w:lang w:val="pl-PL"/>
        </w:rPr>
        <w:t xml:space="preserve"> </w:t>
      </w:r>
      <w:r w:rsidR="0051069F">
        <w:rPr>
          <w:rFonts w:ascii="Times New Roman" w:hAnsi="Times New Roman"/>
          <w:bCs/>
          <w:sz w:val="28"/>
          <w:szCs w:val="28"/>
          <w:lang w:val="pl-PL"/>
        </w:rPr>
        <w:t xml:space="preserve">các quy định của pháp luật, quy định nội bộ </w:t>
      </w:r>
      <w:r w:rsidR="000C2974">
        <w:rPr>
          <w:rFonts w:ascii="Times New Roman" w:hAnsi="Times New Roman"/>
          <w:bCs/>
          <w:sz w:val="28"/>
          <w:szCs w:val="28"/>
          <w:lang w:val="pl-PL"/>
        </w:rPr>
        <w:t xml:space="preserve">về </w:t>
      </w:r>
      <w:r w:rsidR="004E602B" w:rsidRPr="00D451AA">
        <w:rPr>
          <w:rFonts w:ascii="Times New Roman" w:hAnsi="Times New Roman"/>
          <w:bCs/>
          <w:sz w:val="28"/>
          <w:szCs w:val="28"/>
          <w:lang w:val="pl-PL"/>
        </w:rPr>
        <w:t>phương thức giải ngân vốn cho vay</w:t>
      </w:r>
      <w:r w:rsidR="00212411">
        <w:rPr>
          <w:rFonts w:ascii="Times New Roman" w:hAnsi="Times New Roman"/>
          <w:bCs/>
          <w:sz w:val="28"/>
          <w:szCs w:val="28"/>
          <w:lang w:val="pl-PL"/>
        </w:rPr>
        <w:t xml:space="preserve">. Thông báo </w:t>
      </w:r>
      <w:r w:rsidR="000271E5">
        <w:rPr>
          <w:rFonts w:ascii="Times New Roman" w:hAnsi="Times New Roman"/>
          <w:bCs/>
          <w:sz w:val="28"/>
          <w:szCs w:val="28"/>
          <w:lang w:val="pl-PL"/>
        </w:rPr>
        <w:t xml:space="preserve">cho khách hàng và tổ chức tín dụng, chi nhánh ngân hàng nước ngoài có liên quan đến giải ngân vốn cho vay </w:t>
      </w:r>
      <w:r w:rsidR="007873AB">
        <w:rPr>
          <w:rFonts w:ascii="Times New Roman" w:hAnsi="Times New Roman"/>
          <w:bCs/>
          <w:sz w:val="28"/>
          <w:szCs w:val="28"/>
          <w:lang w:val="pl-PL"/>
        </w:rPr>
        <w:t>quy định về giờ giao dịch thanh toán trong ngày.</w:t>
      </w:r>
      <w:r w:rsidR="00212411">
        <w:rPr>
          <w:rFonts w:ascii="Times New Roman" w:hAnsi="Times New Roman"/>
          <w:bCs/>
          <w:sz w:val="28"/>
          <w:szCs w:val="28"/>
          <w:lang w:val="pl-PL"/>
        </w:rPr>
        <w:t xml:space="preserve"> </w:t>
      </w:r>
    </w:p>
    <w:p w:rsidR="00A01D41" w:rsidRDefault="00530D55" w:rsidP="007E74A8">
      <w:pPr>
        <w:pStyle w:val="Than"/>
        <w:spacing w:before="100" w:after="100"/>
        <w:rPr>
          <w:rFonts w:ascii="Times New Roman" w:hAnsi="Times New Roman"/>
          <w:bCs/>
          <w:sz w:val="28"/>
          <w:szCs w:val="28"/>
          <w:lang w:val="pl-PL"/>
        </w:rPr>
      </w:pPr>
      <w:r>
        <w:rPr>
          <w:rFonts w:ascii="Times New Roman" w:hAnsi="Times New Roman"/>
          <w:bCs/>
          <w:sz w:val="28"/>
          <w:szCs w:val="28"/>
          <w:lang w:val="pl-PL"/>
        </w:rPr>
        <w:t>2</w:t>
      </w:r>
      <w:r w:rsidR="00F76D6E">
        <w:rPr>
          <w:rFonts w:ascii="Times New Roman" w:hAnsi="Times New Roman"/>
          <w:bCs/>
          <w:sz w:val="28"/>
          <w:szCs w:val="28"/>
          <w:lang w:val="pl-PL"/>
        </w:rPr>
        <w:t xml:space="preserve">. </w:t>
      </w:r>
      <w:r w:rsidR="00BC12BF">
        <w:rPr>
          <w:rFonts w:ascii="Times New Roman" w:hAnsi="Times New Roman"/>
          <w:bCs/>
          <w:sz w:val="28"/>
          <w:szCs w:val="28"/>
          <w:lang w:val="pl-PL"/>
        </w:rPr>
        <w:t xml:space="preserve">Tổ chức tín dụng quản lý tài chính thông báo cho khách hàng và tổ chức tín dụng, chi nhánh ngân hàng nước ngoài có liên quan đến giải ngân vốn cho vay </w:t>
      </w:r>
      <w:r w:rsidR="009C6EB2">
        <w:rPr>
          <w:rFonts w:ascii="Times New Roman" w:hAnsi="Times New Roman"/>
          <w:bCs/>
          <w:sz w:val="28"/>
          <w:szCs w:val="28"/>
          <w:lang w:val="pl-PL"/>
        </w:rPr>
        <w:t>quy định về</w:t>
      </w:r>
      <w:r w:rsidR="009C6EB2" w:rsidRPr="004011DE">
        <w:rPr>
          <w:rFonts w:ascii="Times New Roman" w:hAnsi="Times New Roman"/>
          <w:bCs/>
          <w:sz w:val="28"/>
          <w:szCs w:val="28"/>
          <w:lang w:val="pl-PL"/>
        </w:rPr>
        <w:t xml:space="preserve"> </w:t>
      </w:r>
      <w:r w:rsidR="00BC12BF" w:rsidRPr="004011DE">
        <w:rPr>
          <w:rFonts w:ascii="Times New Roman" w:hAnsi="Times New Roman"/>
          <w:bCs/>
          <w:sz w:val="28"/>
          <w:szCs w:val="28"/>
          <w:lang w:val="pl-PL"/>
        </w:rPr>
        <w:t>giờ</w:t>
      </w:r>
      <w:r w:rsidR="00BC12BF">
        <w:rPr>
          <w:rFonts w:ascii="Times New Roman" w:hAnsi="Times New Roman"/>
          <w:bCs/>
          <w:sz w:val="28"/>
          <w:szCs w:val="28"/>
          <w:lang w:val="pl-PL"/>
        </w:rPr>
        <w:t xml:space="preserve"> giao dịch thanh toán trong ngày của mình.</w:t>
      </w:r>
    </w:p>
    <w:p w:rsidR="00A01D41" w:rsidRDefault="00BC12BF" w:rsidP="007E74A8">
      <w:pPr>
        <w:pStyle w:val="Than"/>
        <w:spacing w:before="100" w:after="100"/>
        <w:rPr>
          <w:rFonts w:ascii="Times New Roman" w:hAnsi="Times New Roman"/>
          <w:bCs/>
          <w:sz w:val="28"/>
          <w:szCs w:val="28"/>
          <w:lang w:val="pl-PL"/>
        </w:rPr>
      </w:pPr>
      <w:r>
        <w:rPr>
          <w:rFonts w:ascii="Times New Roman" w:hAnsi="Times New Roman"/>
          <w:bCs/>
          <w:sz w:val="28"/>
          <w:szCs w:val="28"/>
          <w:lang w:val="pl-PL"/>
        </w:rPr>
        <w:t xml:space="preserve">3. </w:t>
      </w:r>
      <w:r w:rsidR="00F76D6E">
        <w:rPr>
          <w:rFonts w:ascii="Times New Roman" w:hAnsi="Times New Roman"/>
          <w:bCs/>
          <w:sz w:val="28"/>
          <w:szCs w:val="28"/>
          <w:lang w:val="pl-PL"/>
        </w:rPr>
        <w:t xml:space="preserve">Đối với khách hàng: </w:t>
      </w:r>
    </w:p>
    <w:p w:rsidR="00A01D41" w:rsidRDefault="0051069F" w:rsidP="007E74A8">
      <w:pPr>
        <w:pStyle w:val="Than"/>
        <w:spacing w:before="100" w:after="100"/>
        <w:rPr>
          <w:rFonts w:ascii="Times New Roman" w:hAnsi="Times New Roman"/>
          <w:bCs/>
          <w:sz w:val="28"/>
          <w:szCs w:val="28"/>
          <w:lang w:val="pl-PL"/>
        </w:rPr>
      </w:pPr>
      <w:r>
        <w:rPr>
          <w:rFonts w:ascii="Times New Roman" w:hAnsi="Times New Roman"/>
          <w:bCs/>
          <w:sz w:val="28"/>
          <w:szCs w:val="28"/>
          <w:lang w:val="pl-PL"/>
        </w:rPr>
        <w:t>C</w:t>
      </w:r>
      <w:r w:rsidR="00F76D6E">
        <w:rPr>
          <w:rFonts w:ascii="Times New Roman" w:hAnsi="Times New Roman"/>
          <w:bCs/>
          <w:sz w:val="28"/>
          <w:szCs w:val="28"/>
          <w:lang w:val="pl-PL"/>
        </w:rPr>
        <w:t xml:space="preserve">ung cấp các thông tin, tài liệu, chứng từ thanh toán theo quy định của tổ chức tín dụng </w:t>
      </w:r>
      <w:r w:rsidR="003830BF" w:rsidRPr="003830BF">
        <w:rPr>
          <w:rFonts w:ascii="Times New Roman" w:hAnsi="Times New Roman"/>
          <w:bCs/>
          <w:sz w:val="28"/>
          <w:szCs w:val="28"/>
          <w:lang w:val="pl-PL"/>
        </w:rPr>
        <w:t xml:space="preserve">cho vay </w:t>
      </w:r>
      <w:r w:rsidR="00F76D6E">
        <w:rPr>
          <w:rFonts w:ascii="Times New Roman" w:hAnsi="Times New Roman"/>
          <w:bCs/>
          <w:sz w:val="28"/>
          <w:szCs w:val="28"/>
          <w:lang w:val="pl-PL"/>
        </w:rPr>
        <w:t xml:space="preserve">phục vụ cho việc xem xét quyết định </w:t>
      </w:r>
      <w:r w:rsidR="00DC5306">
        <w:rPr>
          <w:rFonts w:ascii="Times New Roman" w:hAnsi="Times New Roman"/>
          <w:bCs/>
          <w:sz w:val="28"/>
          <w:szCs w:val="28"/>
          <w:lang w:val="pl-PL"/>
        </w:rPr>
        <w:t>phương thức</w:t>
      </w:r>
      <w:r w:rsidR="00F76D6E">
        <w:rPr>
          <w:rFonts w:ascii="Times New Roman" w:hAnsi="Times New Roman"/>
          <w:bCs/>
          <w:sz w:val="28"/>
          <w:szCs w:val="28"/>
          <w:lang w:val="pl-PL"/>
        </w:rPr>
        <w:t xml:space="preserve"> giải ngân vốn cho vay theo quy định tại Thông tư này. Khách hàng chịu trách nhiệm trước pháp luật về tính chính xác, trung thực của các thông tin, tài liệu và chứng từ cung cấp cho tổ chức tín dụng</w:t>
      </w:r>
      <w:r w:rsidR="00582E5F" w:rsidRPr="00582E5F">
        <w:rPr>
          <w:rFonts w:ascii="Times New Roman" w:hAnsi="Times New Roman"/>
          <w:bCs/>
          <w:sz w:val="28"/>
          <w:szCs w:val="28"/>
          <w:lang w:val="pl-PL"/>
        </w:rPr>
        <w:t xml:space="preserve"> </w:t>
      </w:r>
      <w:r w:rsidR="00582E5F" w:rsidRPr="003830BF">
        <w:rPr>
          <w:rFonts w:ascii="Times New Roman" w:hAnsi="Times New Roman"/>
          <w:bCs/>
          <w:sz w:val="28"/>
          <w:szCs w:val="28"/>
          <w:lang w:val="pl-PL"/>
        </w:rPr>
        <w:t>cho vay</w:t>
      </w:r>
      <w:r w:rsidR="00F76D6E">
        <w:rPr>
          <w:rFonts w:ascii="Times New Roman" w:hAnsi="Times New Roman"/>
          <w:bCs/>
          <w:sz w:val="28"/>
          <w:szCs w:val="28"/>
          <w:lang w:val="pl-PL"/>
        </w:rPr>
        <w:t xml:space="preserve">. </w:t>
      </w:r>
    </w:p>
    <w:p w:rsidR="00A01D41" w:rsidRDefault="005A47A6" w:rsidP="007E74A8">
      <w:pPr>
        <w:pStyle w:val="Than"/>
        <w:spacing w:before="100" w:after="100"/>
        <w:rPr>
          <w:rFonts w:ascii="Times New Roman" w:hAnsi="Times New Roman"/>
          <w:b/>
          <w:bCs/>
          <w:sz w:val="28"/>
          <w:szCs w:val="28"/>
          <w:lang w:val="pl-PL"/>
        </w:rPr>
      </w:pPr>
      <w:r>
        <w:rPr>
          <w:rFonts w:ascii="Times New Roman" w:hAnsi="Times New Roman"/>
          <w:b/>
          <w:bCs/>
          <w:sz w:val="28"/>
          <w:szCs w:val="28"/>
          <w:lang w:val="pl-PL"/>
        </w:rPr>
        <w:t xml:space="preserve">Điều </w:t>
      </w:r>
      <w:r w:rsidR="00693D1C">
        <w:rPr>
          <w:rFonts w:ascii="Times New Roman" w:hAnsi="Times New Roman"/>
          <w:b/>
          <w:bCs/>
          <w:sz w:val="28"/>
          <w:szCs w:val="28"/>
          <w:lang w:val="pl-PL"/>
        </w:rPr>
        <w:t>9</w:t>
      </w:r>
      <w:r>
        <w:rPr>
          <w:rFonts w:ascii="Times New Roman" w:hAnsi="Times New Roman"/>
          <w:b/>
          <w:bCs/>
          <w:sz w:val="28"/>
          <w:szCs w:val="28"/>
          <w:lang w:val="pl-PL"/>
        </w:rPr>
        <w:t xml:space="preserve">. </w:t>
      </w:r>
      <w:r w:rsidR="00AA2DB8">
        <w:rPr>
          <w:rFonts w:ascii="Times New Roman" w:hAnsi="Times New Roman"/>
          <w:b/>
          <w:bCs/>
          <w:sz w:val="28"/>
          <w:szCs w:val="28"/>
          <w:lang w:val="pl-PL"/>
        </w:rPr>
        <w:t>Quy định</w:t>
      </w:r>
      <w:r w:rsidR="0051069F">
        <w:rPr>
          <w:rFonts w:ascii="Times New Roman" w:hAnsi="Times New Roman"/>
          <w:b/>
          <w:bCs/>
          <w:sz w:val="28"/>
          <w:szCs w:val="28"/>
          <w:lang w:val="pl-PL"/>
        </w:rPr>
        <w:t xml:space="preserve"> chuyển tiếp</w:t>
      </w:r>
    </w:p>
    <w:p w:rsidR="00A01D41" w:rsidRDefault="0051069F" w:rsidP="007E74A8">
      <w:pPr>
        <w:pStyle w:val="Than"/>
        <w:spacing w:before="100" w:after="100"/>
        <w:rPr>
          <w:rFonts w:ascii="Times New Roman" w:hAnsi="Times New Roman"/>
          <w:b/>
          <w:bCs/>
          <w:sz w:val="28"/>
          <w:szCs w:val="28"/>
          <w:lang w:val="pl-PL"/>
        </w:rPr>
      </w:pPr>
      <w:r>
        <w:rPr>
          <w:rFonts w:ascii="Times New Roman" w:hAnsi="Times New Roman"/>
          <w:sz w:val="28"/>
          <w:szCs w:val="28"/>
          <w:lang w:val="pl-PL"/>
        </w:rPr>
        <w:t>Đối với các hợp đồng tín dụng hoặc thỏa thuận cho vay ký kết trước ngày Thông tư này có hiệu lực thi hành, khách hàng và tổ chức tín dụng</w:t>
      </w:r>
      <w:r w:rsidR="007873AB">
        <w:rPr>
          <w:rFonts w:ascii="Times New Roman" w:hAnsi="Times New Roman"/>
          <w:sz w:val="28"/>
          <w:szCs w:val="28"/>
          <w:lang w:val="pl-PL"/>
        </w:rPr>
        <w:t xml:space="preserve"> cho vay</w:t>
      </w:r>
      <w:r>
        <w:rPr>
          <w:rFonts w:ascii="Times New Roman" w:hAnsi="Times New Roman"/>
          <w:sz w:val="28"/>
          <w:szCs w:val="28"/>
          <w:lang w:val="pl-PL"/>
        </w:rPr>
        <w:t xml:space="preserve"> tiếp tục sử dụng dịch vụ thanh toán không dùng tiền mặt hoặc bằng tiền mặt để giải </w:t>
      </w:r>
      <w:r>
        <w:rPr>
          <w:rFonts w:ascii="Times New Roman" w:hAnsi="Times New Roman"/>
          <w:sz w:val="28"/>
          <w:szCs w:val="28"/>
          <w:lang w:val="pl-PL"/>
        </w:rPr>
        <w:lastRenderedPageBreak/>
        <w:t xml:space="preserve">ngân vốn cho vay theo nội dung đã ký kết phù hợp với quy định của pháp luật hoặc thỏa thuận sửa đổi, bổ sung </w:t>
      </w:r>
      <w:r w:rsidR="00D765A6" w:rsidRPr="00D765A6">
        <w:rPr>
          <w:rFonts w:ascii="Times New Roman" w:hAnsi="Times New Roman"/>
          <w:sz w:val="28"/>
          <w:szCs w:val="28"/>
          <w:lang w:val="pl-PL"/>
        </w:rPr>
        <w:t>hợp đồng tín dụng, thỏa thuận cho vay</w:t>
      </w:r>
      <w:r>
        <w:rPr>
          <w:rFonts w:ascii="Times New Roman" w:hAnsi="Times New Roman"/>
          <w:sz w:val="28"/>
          <w:szCs w:val="28"/>
          <w:lang w:val="pl-PL"/>
        </w:rPr>
        <w:t xml:space="preserve"> phù hợp với quy định tại Thông tư này.</w:t>
      </w:r>
    </w:p>
    <w:p w:rsidR="00A01D41" w:rsidRDefault="0051069F">
      <w:pPr>
        <w:pStyle w:val="Than"/>
        <w:spacing w:after="120"/>
        <w:rPr>
          <w:rFonts w:ascii="Times New Roman" w:hAnsi="Times New Roman"/>
          <w:b/>
          <w:sz w:val="28"/>
          <w:szCs w:val="28"/>
          <w:lang w:val="pl-PL"/>
        </w:rPr>
      </w:pPr>
      <w:r>
        <w:rPr>
          <w:rFonts w:ascii="Times New Roman" w:hAnsi="Times New Roman"/>
          <w:b/>
          <w:bCs/>
          <w:sz w:val="28"/>
          <w:szCs w:val="28"/>
          <w:lang w:val="pl-PL"/>
        </w:rPr>
        <w:t xml:space="preserve">Điều </w:t>
      </w:r>
      <w:r w:rsidR="00693D1C">
        <w:rPr>
          <w:rFonts w:ascii="Times New Roman" w:hAnsi="Times New Roman"/>
          <w:b/>
          <w:bCs/>
          <w:sz w:val="28"/>
          <w:szCs w:val="28"/>
          <w:lang w:val="pl-PL"/>
        </w:rPr>
        <w:t>10</w:t>
      </w:r>
      <w:r>
        <w:rPr>
          <w:rFonts w:ascii="Times New Roman" w:hAnsi="Times New Roman"/>
          <w:b/>
          <w:bCs/>
          <w:sz w:val="28"/>
          <w:szCs w:val="28"/>
          <w:lang w:val="pl-PL"/>
        </w:rPr>
        <w:t xml:space="preserve">. </w:t>
      </w:r>
      <w:r w:rsidR="00111A30">
        <w:rPr>
          <w:rFonts w:ascii="Times New Roman" w:hAnsi="Times New Roman"/>
          <w:b/>
          <w:sz w:val="28"/>
          <w:szCs w:val="28"/>
          <w:lang w:val="pl-PL"/>
        </w:rPr>
        <w:t>T</w:t>
      </w:r>
      <w:r w:rsidR="00111A30" w:rsidRPr="00AA2DB8">
        <w:rPr>
          <w:rFonts w:ascii="Times New Roman" w:hAnsi="Times New Roman"/>
          <w:b/>
          <w:sz w:val="28"/>
          <w:szCs w:val="28"/>
          <w:lang w:val="pl-PL"/>
        </w:rPr>
        <w:t xml:space="preserve">ổ chức thực hiện </w:t>
      </w:r>
    </w:p>
    <w:p w:rsidR="00A01D41" w:rsidRDefault="005A47A6">
      <w:pPr>
        <w:pStyle w:val="Than"/>
        <w:spacing w:after="120"/>
        <w:rPr>
          <w:rFonts w:ascii="Times New Roman" w:hAnsi="Times New Roman"/>
          <w:sz w:val="28"/>
          <w:szCs w:val="28"/>
          <w:lang w:val="en-US"/>
        </w:rPr>
      </w:pPr>
      <w:r w:rsidRPr="00105171">
        <w:rPr>
          <w:rFonts w:ascii="Times New Roman" w:hAnsi="Times New Roman"/>
          <w:sz w:val="28"/>
          <w:szCs w:val="28"/>
          <w:lang w:val="pl-PL"/>
        </w:rPr>
        <w:t>1.</w:t>
      </w:r>
      <w:r w:rsidRPr="00471119">
        <w:rPr>
          <w:rFonts w:ascii="Times New Roman" w:hAnsi="Times New Roman"/>
          <w:sz w:val="28"/>
          <w:szCs w:val="28"/>
          <w:lang w:val="pl-PL"/>
        </w:rPr>
        <w:t xml:space="preserve"> Thông tư này có hiệu lực thi hành </w:t>
      </w:r>
      <w:r>
        <w:rPr>
          <w:rFonts w:ascii="Times New Roman" w:hAnsi="Times New Roman"/>
          <w:sz w:val="28"/>
          <w:szCs w:val="28"/>
          <w:lang w:val="pl-PL"/>
        </w:rPr>
        <w:t xml:space="preserve">kể từ </w:t>
      </w:r>
      <w:r w:rsidR="00125242">
        <w:rPr>
          <w:rFonts w:ascii="Times New Roman" w:hAnsi="Times New Roman"/>
          <w:sz w:val="28"/>
          <w:szCs w:val="28"/>
          <w:lang w:val="pl-PL"/>
        </w:rPr>
        <w:t xml:space="preserve">ngày </w:t>
      </w:r>
      <w:r w:rsidR="00A416EE">
        <w:rPr>
          <w:rFonts w:ascii="Times New Roman" w:hAnsi="Times New Roman"/>
          <w:sz w:val="28"/>
          <w:szCs w:val="28"/>
          <w:lang w:val="pl-PL"/>
        </w:rPr>
        <w:t>02</w:t>
      </w:r>
      <w:r w:rsidR="00F174E2">
        <w:rPr>
          <w:rFonts w:ascii="Times New Roman" w:hAnsi="Times New Roman"/>
          <w:sz w:val="28"/>
          <w:szCs w:val="28"/>
          <w:lang w:val="pl-PL"/>
        </w:rPr>
        <w:t xml:space="preserve"> </w:t>
      </w:r>
      <w:r w:rsidR="00125242">
        <w:rPr>
          <w:rFonts w:ascii="Times New Roman" w:hAnsi="Times New Roman"/>
          <w:sz w:val="28"/>
          <w:szCs w:val="28"/>
          <w:lang w:val="pl-PL"/>
        </w:rPr>
        <w:t xml:space="preserve">tháng </w:t>
      </w:r>
      <w:r w:rsidR="00A416EE">
        <w:rPr>
          <w:rFonts w:ascii="Times New Roman" w:hAnsi="Times New Roman"/>
          <w:sz w:val="28"/>
          <w:szCs w:val="28"/>
          <w:lang w:val="pl-PL"/>
        </w:rPr>
        <w:t xml:space="preserve">4 </w:t>
      </w:r>
      <w:r>
        <w:rPr>
          <w:rFonts w:ascii="Times New Roman" w:hAnsi="Times New Roman"/>
          <w:sz w:val="28"/>
          <w:szCs w:val="28"/>
          <w:lang w:val="pl-PL"/>
        </w:rPr>
        <w:t>năm 2018</w:t>
      </w:r>
      <w:r w:rsidR="00AA2DB8">
        <w:rPr>
          <w:rFonts w:ascii="Times New Roman" w:hAnsi="Times New Roman"/>
          <w:sz w:val="28"/>
          <w:szCs w:val="28"/>
          <w:lang w:val="pl-PL"/>
        </w:rPr>
        <w:t>.</w:t>
      </w:r>
      <w:r w:rsidR="0095577B" w:rsidRPr="0095577B">
        <w:rPr>
          <w:rFonts w:ascii="Times New Roman" w:hAnsi="Times New Roman"/>
          <w:sz w:val="28"/>
          <w:szCs w:val="28"/>
          <w:lang w:val="pl-PL"/>
        </w:rPr>
        <w:t xml:space="preserve"> </w:t>
      </w:r>
      <w:r w:rsidR="0095577B">
        <w:rPr>
          <w:rFonts w:ascii="Times New Roman" w:hAnsi="Times New Roman"/>
          <w:sz w:val="28"/>
          <w:szCs w:val="28"/>
          <w:lang w:val="pl-PL"/>
        </w:rPr>
        <w:t xml:space="preserve">Thông tư này </w:t>
      </w:r>
      <w:r w:rsidR="00693D1C">
        <w:rPr>
          <w:rFonts w:ascii="Times New Roman" w:hAnsi="Times New Roman"/>
          <w:sz w:val="28"/>
          <w:szCs w:val="28"/>
          <w:lang w:val="pl-PL"/>
        </w:rPr>
        <w:t>thay thế</w:t>
      </w:r>
      <w:r w:rsidR="0095577B">
        <w:rPr>
          <w:rFonts w:ascii="Times New Roman" w:hAnsi="Times New Roman"/>
          <w:sz w:val="28"/>
          <w:szCs w:val="28"/>
          <w:lang w:val="pl-PL"/>
        </w:rPr>
        <w:t xml:space="preserve"> Thông tư số 09/2012/TT-NHNN ngày 10 tháng 4 năm 2012 </w:t>
      </w:r>
      <w:r w:rsidR="0095577B" w:rsidRPr="00AB5FEC">
        <w:rPr>
          <w:rFonts w:ascii="Times New Roman" w:hAnsi="Times New Roman"/>
          <w:bCs/>
          <w:sz w:val="28"/>
          <w:szCs w:val="28"/>
          <w:lang w:val="vi-VN"/>
        </w:rPr>
        <w:t xml:space="preserve">quy </w:t>
      </w:r>
      <w:r w:rsidR="0095577B" w:rsidRPr="00AB5FEC">
        <w:rPr>
          <w:rFonts w:ascii="Times New Roman" w:hAnsi="Times New Roman" w:hint="eastAsia"/>
          <w:bCs/>
          <w:sz w:val="28"/>
          <w:szCs w:val="28"/>
          <w:lang w:val="vi-VN"/>
        </w:rPr>
        <w:t>đ</w:t>
      </w:r>
      <w:r w:rsidR="0095577B" w:rsidRPr="00AB5FEC">
        <w:rPr>
          <w:rFonts w:ascii="Times New Roman" w:hAnsi="Times New Roman"/>
          <w:bCs/>
          <w:sz w:val="28"/>
          <w:szCs w:val="28"/>
          <w:lang w:val="vi-VN"/>
        </w:rPr>
        <w:t>ịnh việc sử dụng các ph</w:t>
      </w:r>
      <w:r w:rsidR="0095577B" w:rsidRPr="00AB5FEC">
        <w:rPr>
          <w:rFonts w:ascii="Times New Roman" w:hAnsi="Times New Roman" w:hint="eastAsia"/>
          <w:bCs/>
          <w:sz w:val="28"/>
          <w:szCs w:val="28"/>
          <w:lang w:val="vi-VN"/>
        </w:rPr>
        <w:t>ươ</w:t>
      </w:r>
      <w:r w:rsidR="0095577B" w:rsidRPr="00AB5FEC">
        <w:rPr>
          <w:rFonts w:ascii="Times New Roman" w:hAnsi="Times New Roman"/>
          <w:bCs/>
          <w:sz w:val="28"/>
          <w:szCs w:val="28"/>
          <w:lang w:val="vi-VN"/>
        </w:rPr>
        <w:t xml:space="preserve">ng tiện thanh toán </w:t>
      </w:r>
      <w:r w:rsidR="0095577B" w:rsidRPr="00AB5FEC">
        <w:rPr>
          <w:rFonts w:ascii="Times New Roman" w:hAnsi="Times New Roman" w:hint="eastAsia"/>
          <w:bCs/>
          <w:sz w:val="28"/>
          <w:szCs w:val="28"/>
          <w:lang w:val="vi-VN"/>
        </w:rPr>
        <w:t>đ</w:t>
      </w:r>
      <w:r w:rsidR="0095577B" w:rsidRPr="00AB5FEC">
        <w:rPr>
          <w:rFonts w:ascii="Times New Roman" w:hAnsi="Times New Roman"/>
          <w:bCs/>
          <w:sz w:val="28"/>
          <w:szCs w:val="28"/>
          <w:lang w:val="vi-VN"/>
        </w:rPr>
        <w:t>ể giải ngân vốn cho vay của tổ chức tín dụng, chi nhánh ngân hàng n</w:t>
      </w:r>
      <w:r w:rsidR="0095577B" w:rsidRPr="00AB5FEC">
        <w:rPr>
          <w:rFonts w:ascii="Times New Roman" w:hAnsi="Times New Roman" w:hint="eastAsia"/>
          <w:bCs/>
          <w:sz w:val="28"/>
          <w:szCs w:val="28"/>
          <w:lang w:val="vi-VN"/>
        </w:rPr>
        <w:t>ư</w:t>
      </w:r>
      <w:r w:rsidR="0095577B" w:rsidRPr="00AB5FEC">
        <w:rPr>
          <w:rFonts w:ascii="Times New Roman" w:hAnsi="Times New Roman"/>
          <w:bCs/>
          <w:sz w:val="28"/>
          <w:szCs w:val="28"/>
          <w:lang w:val="vi-VN"/>
        </w:rPr>
        <w:t xml:space="preserve">ớc ngoài </w:t>
      </w:r>
      <w:r w:rsidR="0095577B" w:rsidRPr="00AB5FEC">
        <w:rPr>
          <w:rFonts w:ascii="Times New Roman" w:hAnsi="Times New Roman" w:hint="eastAsia"/>
          <w:bCs/>
          <w:sz w:val="28"/>
          <w:szCs w:val="28"/>
          <w:lang w:val="vi-VN"/>
        </w:rPr>
        <w:t>đ</w:t>
      </w:r>
      <w:r w:rsidR="0095577B" w:rsidRPr="00AB5FEC">
        <w:rPr>
          <w:rFonts w:ascii="Times New Roman" w:hAnsi="Times New Roman"/>
          <w:bCs/>
          <w:sz w:val="28"/>
          <w:szCs w:val="28"/>
          <w:lang w:val="vi-VN"/>
        </w:rPr>
        <w:t>ối với khách hàng</w:t>
      </w:r>
      <w:r w:rsidR="00C421BE">
        <w:rPr>
          <w:rFonts w:ascii="Times New Roman" w:hAnsi="Times New Roman"/>
          <w:bCs/>
          <w:sz w:val="28"/>
          <w:szCs w:val="28"/>
          <w:lang w:val="en-US"/>
        </w:rPr>
        <w:t>.</w:t>
      </w:r>
    </w:p>
    <w:p w:rsidR="00A01D41" w:rsidRDefault="00AA2DB8">
      <w:pPr>
        <w:pStyle w:val="Than"/>
        <w:spacing w:after="120"/>
        <w:rPr>
          <w:rFonts w:ascii="Times New Roman" w:hAnsi="Times New Roman"/>
          <w:lang w:val="pl-PL"/>
        </w:rPr>
      </w:pPr>
      <w:r>
        <w:rPr>
          <w:rFonts w:ascii="Times New Roman" w:hAnsi="Times New Roman"/>
          <w:sz w:val="28"/>
          <w:szCs w:val="28"/>
          <w:lang w:val="pl-PL"/>
        </w:rPr>
        <w:t xml:space="preserve">2. </w:t>
      </w:r>
      <w:r w:rsidR="0095577B" w:rsidRPr="00AB5FEC">
        <w:rPr>
          <w:rFonts w:ascii="Times New Roman" w:hAnsi="Times New Roman"/>
          <w:sz w:val="28"/>
          <w:szCs w:val="28"/>
          <w:lang w:val="pl-PL"/>
        </w:rPr>
        <w:t>Chánh Văn phòng, Vụ trưởng Vụ Chính sách tiền tệ và Thủ trưởng các đơn vị thuộc Ngân hàng Nhà nước Việt Nam, Giám đốc Ngân hàng Nhà nước chi nhánh các tỉnh, thành phố trực thuộc Trung ương; Chủ tịch Hội đồng quản trị, Chủ tịch Hội đồng thành viên và Tổng giám đốc (Giám đốc) các tổ chức tín dụng, chi nhánh ngân hàng nước ngoài chịu trách nhiệm tổ chức thực hiện Thông tư này</w:t>
      </w:r>
      <w:r w:rsidR="005A47A6" w:rsidRPr="00471119">
        <w:rPr>
          <w:rFonts w:ascii="Times New Roman" w:hAnsi="Times New Roman"/>
          <w:lang w:val="pl-P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93D1C" w:rsidTr="00693D1C">
        <w:tc>
          <w:tcPr>
            <w:tcW w:w="4644" w:type="dxa"/>
          </w:tcPr>
          <w:p w:rsidR="00693D1C" w:rsidRDefault="00693D1C" w:rsidP="00693D1C">
            <w:pPr>
              <w:rPr>
                <w:b/>
                <w:i/>
                <w:sz w:val="24"/>
                <w:szCs w:val="24"/>
                <w:lang w:val="pl-PL"/>
              </w:rPr>
            </w:pPr>
          </w:p>
          <w:p w:rsidR="00693D1C" w:rsidRDefault="00693D1C" w:rsidP="00693D1C">
            <w:pPr>
              <w:rPr>
                <w:b/>
                <w:i/>
                <w:sz w:val="24"/>
                <w:szCs w:val="24"/>
                <w:lang w:val="pl-PL"/>
              </w:rPr>
            </w:pPr>
            <w:r w:rsidRPr="00B4724F">
              <w:rPr>
                <w:b/>
                <w:i/>
                <w:sz w:val="24"/>
                <w:szCs w:val="24"/>
                <w:lang w:val="pl-PL"/>
              </w:rPr>
              <w:t>Nơi nhận:</w:t>
            </w:r>
          </w:p>
          <w:p w:rsidR="00693D1C" w:rsidRPr="00B525F8" w:rsidRDefault="00693D1C" w:rsidP="00693D1C">
            <w:pPr>
              <w:rPr>
                <w:sz w:val="22"/>
                <w:szCs w:val="22"/>
                <w:lang w:val="pl-PL"/>
              </w:rPr>
            </w:pPr>
            <w:r w:rsidRPr="00B525F8">
              <w:rPr>
                <w:sz w:val="22"/>
                <w:szCs w:val="22"/>
                <w:lang w:val="pl-PL"/>
              </w:rPr>
              <w:t xml:space="preserve">- Như </w:t>
            </w:r>
            <w:r>
              <w:rPr>
                <w:sz w:val="22"/>
                <w:szCs w:val="22"/>
                <w:lang w:val="pl-PL"/>
              </w:rPr>
              <w:t xml:space="preserve">khoản 2 </w:t>
            </w:r>
            <w:r w:rsidRPr="00B525F8">
              <w:rPr>
                <w:sz w:val="22"/>
                <w:szCs w:val="22"/>
                <w:lang w:val="pl-PL"/>
              </w:rPr>
              <w:t xml:space="preserve">Điều </w:t>
            </w:r>
            <w:r>
              <w:rPr>
                <w:sz w:val="22"/>
                <w:szCs w:val="22"/>
                <w:lang w:val="pl-PL"/>
              </w:rPr>
              <w:t>10</w:t>
            </w:r>
            <w:r w:rsidRPr="00B525F8">
              <w:rPr>
                <w:sz w:val="22"/>
                <w:szCs w:val="22"/>
                <w:lang w:val="pl-PL"/>
              </w:rPr>
              <w:t>;</w:t>
            </w:r>
          </w:p>
          <w:p w:rsidR="00693D1C" w:rsidRDefault="00693D1C" w:rsidP="00693D1C">
            <w:pPr>
              <w:rPr>
                <w:sz w:val="22"/>
                <w:szCs w:val="22"/>
                <w:lang w:val="pl-PL"/>
              </w:rPr>
            </w:pPr>
            <w:r w:rsidRPr="00B525F8">
              <w:rPr>
                <w:sz w:val="22"/>
                <w:szCs w:val="22"/>
                <w:lang w:val="pl-PL"/>
              </w:rPr>
              <w:t>- Ban lãnh đạo NHNN;</w:t>
            </w:r>
          </w:p>
          <w:p w:rsidR="00693D1C" w:rsidRPr="00B525F8" w:rsidRDefault="00693D1C" w:rsidP="00693D1C">
            <w:pPr>
              <w:rPr>
                <w:sz w:val="22"/>
                <w:szCs w:val="22"/>
                <w:lang w:val="pl-PL"/>
              </w:rPr>
            </w:pPr>
            <w:r>
              <w:rPr>
                <w:sz w:val="22"/>
                <w:szCs w:val="22"/>
                <w:lang w:val="pl-PL"/>
              </w:rPr>
              <w:t>- Văn phòng Chính phủ;</w:t>
            </w:r>
          </w:p>
          <w:p w:rsidR="00693D1C" w:rsidRDefault="00693D1C" w:rsidP="00693D1C">
            <w:pPr>
              <w:tabs>
                <w:tab w:val="left" w:pos="3090"/>
              </w:tabs>
              <w:rPr>
                <w:sz w:val="22"/>
                <w:szCs w:val="22"/>
                <w:lang w:val="pl-PL"/>
              </w:rPr>
            </w:pPr>
            <w:r w:rsidRPr="00B525F8">
              <w:rPr>
                <w:sz w:val="22"/>
                <w:szCs w:val="22"/>
                <w:lang w:val="pl-PL"/>
              </w:rPr>
              <w:t>- Bộ Tư pháp</w:t>
            </w:r>
            <w:r>
              <w:rPr>
                <w:sz w:val="22"/>
                <w:szCs w:val="22"/>
                <w:lang w:val="pl-PL"/>
              </w:rPr>
              <w:t xml:space="preserve"> (để kiểm tra)</w:t>
            </w:r>
            <w:r w:rsidRPr="00B525F8">
              <w:rPr>
                <w:sz w:val="22"/>
                <w:szCs w:val="22"/>
                <w:lang w:val="pl-PL"/>
              </w:rPr>
              <w:t>;</w:t>
            </w:r>
          </w:p>
          <w:p w:rsidR="00693D1C" w:rsidRPr="00E92BFA" w:rsidRDefault="00693D1C" w:rsidP="00693D1C">
            <w:pPr>
              <w:rPr>
                <w:sz w:val="22"/>
                <w:szCs w:val="22"/>
                <w:lang w:val="pl-PL"/>
              </w:rPr>
            </w:pPr>
            <w:r w:rsidRPr="00E92BFA">
              <w:rPr>
                <w:sz w:val="22"/>
                <w:szCs w:val="22"/>
                <w:lang w:val="pl-PL"/>
              </w:rPr>
              <w:t>- Công báo;</w:t>
            </w:r>
          </w:p>
          <w:p w:rsidR="00693D1C" w:rsidRPr="008160BA" w:rsidRDefault="00693D1C" w:rsidP="00693D1C">
            <w:pPr>
              <w:rPr>
                <w:lang w:val="pl-PL"/>
              </w:rPr>
            </w:pPr>
            <w:r w:rsidRPr="00E92BFA">
              <w:rPr>
                <w:sz w:val="22"/>
                <w:szCs w:val="22"/>
                <w:lang w:val="pl-PL"/>
              </w:rPr>
              <w:t>- Lưu: VP, Vụ CSTT</w:t>
            </w:r>
            <w:r>
              <w:rPr>
                <w:sz w:val="22"/>
                <w:szCs w:val="22"/>
                <w:lang w:val="pl-PL"/>
              </w:rPr>
              <w:t>, Vụ PC</w:t>
            </w:r>
            <w:r w:rsidRPr="00E92BFA">
              <w:rPr>
                <w:sz w:val="22"/>
                <w:szCs w:val="22"/>
                <w:lang w:val="pl-PL"/>
              </w:rPr>
              <w:t>.</w:t>
            </w:r>
          </w:p>
          <w:p w:rsidR="00693D1C" w:rsidRDefault="00693D1C">
            <w:pPr>
              <w:pStyle w:val="Than"/>
              <w:spacing w:after="120"/>
              <w:ind w:firstLine="0"/>
              <w:rPr>
                <w:rFonts w:ascii="Times New Roman" w:hAnsi="Times New Roman"/>
                <w:lang w:val="pl-PL"/>
              </w:rPr>
            </w:pPr>
          </w:p>
        </w:tc>
        <w:tc>
          <w:tcPr>
            <w:tcW w:w="4644" w:type="dxa"/>
          </w:tcPr>
          <w:p w:rsidR="00D765A6" w:rsidRDefault="00A416EE" w:rsidP="00D765A6">
            <w:pPr>
              <w:pStyle w:val="Than"/>
              <w:spacing w:after="120"/>
              <w:ind w:firstLine="0"/>
              <w:jc w:val="center"/>
              <w:rPr>
                <w:rFonts w:ascii="Times New Roman" w:hAnsi="Times New Roman"/>
                <w:b/>
                <w:sz w:val="26"/>
                <w:szCs w:val="26"/>
                <w:lang w:val="pl-PL"/>
              </w:rPr>
            </w:pPr>
            <w:r>
              <w:rPr>
                <w:rFonts w:ascii="Times New Roman" w:hAnsi="Times New Roman"/>
                <w:b/>
                <w:sz w:val="26"/>
                <w:szCs w:val="26"/>
                <w:lang w:val="pl-PL"/>
              </w:rPr>
              <w:t>KT.</w:t>
            </w:r>
            <w:r w:rsidR="00D765A6" w:rsidRPr="00D765A6">
              <w:rPr>
                <w:rFonts w:ascii="Times New Roman" w:hAnsi="Times New Roman"/>
                <w:b/>
                <w:sz w:val="26"/>
                <w:szCs w:val="26"/>
                <w:lang w:val="pl-PL"/>
              </w:rPr>
              <w:t>THỐNG ĐỐC</w:t>
            </w:r>
          </w:p>
          <w:p w:rsidR="00A416EE" w:rsidRDefault="00A416EE" w:rsidP="00D765A6">
            <w:pPr>
              <w:pStyle w:val="Than"/>
              <w:spacing w:after="120"/>
              <w:ind w:firstLine="0"/>
              <w:jc w:val="center"/>
              <w:rPr>
                <w:rFonts w:ascii="Times New Roman" w:hAnsi="Times New Roman"/>
                <w:b/>
                <w:sz w:val="26"/>
                <w:szCs w:val="26"/>
                <w:lang w:val="pl-PL"/>
              </w:rPr>
            </w:pPr>
            <w:r>
              <w:rPr>
                <w:rFonts w:ascii="Times New Roman" w:hAnsi="Times New Roman"/>
                <w:b/>
                <w:sz w:val="26"/>
                <w:szCs w:val="26"/>
                <w:lang w:val="pl-PL"/>
              </w:rPr>
              <w:t>PHÓ THÔNG ĐỐC</w:t>
            </w:r>
          </w:p>
          <w:p w:rsidR="00A416EE" w:rsidRDefault="00A416EE" w:rsidP="00D765A6">
            <w:pPr>
              <w:pStyle w:val="Than"/>
              <w:spacing w:after="120"/>
              <w:ind w:firstLine="0"/>
              <w:jc w:val="center"/>
              <w:rPr>
                <w:rFonts w:ascii="Times New Roman" w:hAnsi="Times New Roman"/>
                <w:b/>
                <w:sz w:val="26"/>
                <w:szCs w:val="26"/>
                <w:lang w:val="pl-PL"/>
              </w:rPr>
            </w:pPr>
          </w:p>
          <w:p w:rsidR="00A416EE" w:rsidRDefault="00A416EE" w:rsidP="00D765A6">
            <w:pPr>
              <w:pStyle w:val="Than"/>
              <w:spacing w:after="120"/>
              <w:ind w:firstLine="0"/>
              <w:jc w:val="center"/>
              <w:rPr>
                <w:rFonts w:ascii="Times New Roman" w:hAnsi="Times New Roman"/>
                <w:b/>
                <w:sz w:val="26"/>
                <w:szCs w:val="26"/>
                <w:lang w:val="pl-PL"/>
              </w:rPr>
            </w:pPr>
            <w:r>
              <w:rPr>
                <w:rFonts w:ascii="Times New Roman" w:hAnsi="Times New Roman"/>
                <w:b/>
                <w:sz w:val="26"/>
                <w:szCs w:val="26"/>
                <w:lang w:val="pl-PL"/>
              </w:rPr>
              <w:t>Đã ký</w:t>
            </w:r>
          </w:p>
          <w:p w:rsidR="00A416EE" w:rsidRDefault="00A416EE" w:rsidP="00D765A6">
            <w:pPr>
              <w:pStyle w:val="Than"/>
              <w:spacing w:after="120"/>
              <w:ind w:firstLine="0"/>
              <w:jc w:val="center"/>
              <w:rPr>
                <w:rFonts w:ascii="Times New Roman" w:hAnsi="Times New Roman"/>
                <w:b/>
                <w:sz w:val="26"/>
                <w:szCs w:val="26"/>
                <w:lang w:val="pl-PL"/>
              </w:rPr>
            </w:pPr>
          </w:p>
          <w:p w:rsidR="00A416EE" w:rsidRDefault="00A416EE" w:rsidP="00D765A6">
            <w:pPr>
              <w:pStyle w:val="Than"/>
              <w:spacing w:after="120"/>
              <w:ind w:firstLine="0"/>
              <w:jc w:val="center"/>
              <w:rPr>
                <w:rFonts w:ascii="Times New Roman" w:hAnsi="Times New Roman"/>
                <w:b/>
                <w:sz w:val="26"/>
                <w:szCs w:val="26"/>
                <w:lang w:val="pl-PL"/>
              </w:rPr>
            </w:pPr>
            <w:r>
              <w:rPr>
                <w:rFonts w:ascii="Times New Roman" w:hAnsi="Times New Roman"/>
                <w:b/>
                <w:sz w:val="26"/>
                <w:szCs w:val="26"/>
                <w:lang w:val="pl-PL"/>
              </w:rPr>
              <w:t>Nguyễn Thị Hồng</w:t>
            </w:r>
            <w:bookmarkStart w:id="0" w:name="_GoBack"/>
            <w:bookmarkEnd w:id="0"/>
          </w:p>
          <w:p w:rsidR="00A416EE" w:rsidRPr="00D765A6" w:rsidRDefault="00A416EE" w:rsidP="00A416EE">
            <w:pPr>
              <w:pStyle w:val="Than"/>
              <w:spacing w:after="120"/>
              <w:ind w:firstLine="0"/>
              <w:rPr>
                <w:rFonts w:ascii="Times New Roman" w:hAnsi="Times New Roman"/>
                <w:b/>
                <w:sz w:val="26"/>
                <w:szCs w:val="26"/>
                <w:lang w:val="pl-PL"/>
              </w:rPr>
            </w:pPr>
          </w:p>
        </w:tc>
      </w:tr>
      <w:tr w:rsidR="00A416EE" w:rsidTr="00693D1C">
        <w:tc>
          <w:tcPr>
            <w:tcW w:w="4644" w:type="dxa"/>
          </w:tcPr>
          <w:p w:rsidR="00A416EE" w:rsidRDefault="00A416EE" w:rsidP="00693D1C">
            <w:pPr>
              <w:rPr>
                <w:b/>
                <w:i/>
                <w:sz w:val="24"/>
                <w:szCs w:val="24"/>
                <w:lang w:val="pl-PL"/>
              </w:rPr>
            </w:pPr>
          </w:p>
        </w:tc>
        <w:tc>
          <w:tcPr>
            <w:tcW w:w="4644" w:type="dxa"/>
          </w:tcPr>
          <w:p w:rsidR="00A416EE" w:rsidRDefault="00A416EE" w:rsidP="00D765A6">
            <w:pPr>
              <w:pStyle w:val="Than"/>
              <w:spacing w:after="120"/>
              <w:ind w:firstLine="0"/>
              <w:jc w:val="center"/>
              <w:rPr>
                <w:rFonts w:ascii="Times New Roman" w:hAnsi="Times New Roman"/>
                <w:b/>
                <w:sz w:val="26"/>
                <w:szCs w:val="26"/>
                <w:lang w:val="pl-PL"/>
              </w:rPr>
            </w:pPr>
          </w:p>
        </w:tc>
      </w:tr>
    </w:tbl>
    <w:p w:rsidR="00D765A6" w:rsidRDefault="00D765A6" w:rsidP="00D765A6">
      <w:pPr>
        <w:pStyle w:val="Than"/>
        <w:spacing w:after="120"/>
        <w:rPr>
          <w:rFonts w:ascii="Times New Roman" w:hAnsi="Times New Roman"/>
          <w:lang w:val="pl-PL"/>
        </w:rPr>
      </w:pPr>
    </w:p>
    <w:p w:rsidR="002703F1" w:rsidRDefault="005A47A6">
      <w:pPr>
        <w:pStyle w:val="Heading1"/>
        <w:spacing w:before="120" w:after="120"/>
        <w:ind w:right="-28"/>
        <w:jc w:val="both"/>
        <w:rPr>
          <w:rFonts w:ascii="Times New Roman" w:hAnsi="Times New Roman"/>
          <w:szCs w:val="24"/>
          <w:lang w:val="pl-PL"/>
        </w:rPr>
      </w:pPr>
      <w:r w:rsidRPr="00471119">
        <w:rPr>
          <w:szCs w:val="24"/>
          <w:lang w:val="pl-PL"/>
        </w:rPr>
        <w:t xml:space="preserve">   </w:t>
      </w:r>
      <w:r w:rsidRPr="00471119">
        <w:rPr>
          <w:szCs w:val="24"/>
          <w:lang w:val="pl-PL"/>
        </w:rPr>
        <w:tab/>
        <w:t xml:space="preserve"> </w:t>
      </w:r>
      <w:r w:rsidRPr="00471119">
        <w:rPr>
          <w:szCs w:val="24"/>
          <w:lang w:val="pl-PL"/>
        </w:rPr>
        <w:tab/>
      </w:r>
      <w:r w:rsidRPr="00471119">
        <w:rPr>
          <w:szCs w:val="24"/>
          <w:lang w:val="pl-PL"/>
        </w:rPr>
        <w:tab/>
        <w:t xml:space="preserve">  </w:t>
      </w:r>
      <w:r>
        <w:rPr>
          <w:szCs w:val="24"/>
          <w:lang w:val="pl-PL"/>
        </w:rPr>
        <w:t xml:space="preserve">       </w:t>
      </w:r>
      <w:r w:rsidRPr="00471119">
        <w:rPr>
          <w:szCs w:val="24"/>
          <w:lang w:val="pl-PL"/>
        </w:rPr>
        <w:t xml:space="preserve">    </w:t>
      </w:r>
      <w:r>
        <w:rPr>
          <w:szCs w:val="24"/>
          <w:lang w:val="pl-PL"/>
        </w:rPr>
        <w:t xml:space="preserve">    </w:t>
      </w:r>
      <w:r>
        <w:rPr>
          <w:szCs w:val="24"/>
          <w:lang w:val="pl-PL"/>
        </w:rPr>
        <w:tab/>
      </w:r>
      <w:r>
        <w:rPr>
          <w:szCs w:val="24"/>
          <w:lang w:val="pl-PL"/>
        </w:rPr>
        <w:tab/>
      </w:r>
      <w:r>
        <w:rPr>
          <w:szCs w:val="24"/>
          <w:lang w:val="pl-PL"/>
        </w:rPr>
        <w:tab/>
        <w:t xml:space="preserve">                      </w:t>
      </w:r>
    </w:p>
    <w:p w:rsidR="00665047" w:rsidRDefault="00665047">
      <w:pPr>
        <w:rPr>
          <w:lang w:val="pl-PL"/>
        </w:rPr>
      </w:pPr>
    </w:p>
    <w:sectPr w:rsidR="00665047" w:rsidSect="0095577B">
      <w:type w:val="continuous"/>
      <w:pgSz w:w="11907" w:h="16840" w:code="9"/>
      <w:pgMar w:top="668" w:right="1134" w:bottom="1021" w:left="1701" w:header="567" w:footer="499"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6D" w:rsidRDefault="00880F6D" w:rsidP="004A71AB">
      <w:r>
        <w:separator/>
      </w:r>
    </w:p>
  </w:endnote>
  <w:endnote w:type="continuationSeparator" w:id="0">
    <w:p w:rsidR="00880F6D" w:rsidRDefault="00880F6D" w:rsidP="004A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EF" w:rsidRDefault="00A01D41" w:rsidP="00094BEF">
    <w:pPr>
      <w:pStyle w:val="Footer"/>
      <w:framePr w:wrap="around" w:vAnchor="text" w:hAnchor="margin" w:xAlign="right" w:y="1"/>
      <w:rPr>
        <w:rStyle w:val="PageNumber"/>
      </w:rPr>
    </w:pPr>
    <w:r>
      <w:rPr>
        <w:rStyle w:val="PageNumber"/>
      </w:rPr>
      <w:fldChar w:fldCharType="begin"/>
    </w:r>
    <w:r w:rsidR="00094BEF">
      <w:rPr>
        <w:rStyle w:val="PageNumber"/>
      </w:rPr>
      <w:instrText xml:space="preserve">PAGE  </w:instrText>
    </w:r>
    <w:r>
      <w:rPr>
        <w:rStyle w:val="PageNumber"/>
      </w:rPr>
      <w:fldChar w:fldCharType="end"/>
    </w:r>
  </w:p>
  <w:p w:rsidR="00094BEF" w:rsidRDefault="00094BEF" w:rsidP="00094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EF" w:rsidRPr="002D48FA" w:rsidRDefault="00094BEF" w:rsidP="00094BEF">
    <w:pPr>
      <w:pStyle w:val="Footer"/>
      <w:framePr w:wrap="around" w:vAnchor="text" w:hAnchor="margin" w:xAlign="right" w:y="1"/>
      <w:rPr>
        <w:rStyle w:val="PageNumber"/>
        <w:sz w:val="22"/>
      </w:rPr>
    </w:pPr>
  </w:p>
  <w:p w:rsidR="00094BEF" w:rsidRDefault="00094BEF" w:rsidP="00094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6D" w:rsidRDefault="00880F6D" w:rsidP="004A71AB">
      <w:r>
        <w:separator/>
      </w:r>
    </w:p>
  </w:footnote>
  <w:footnote w:type="continuationSeparator" w:id="0">
    <w:p w:rsidR="00880F6D" w:rsidRDefault="00880F6D" w:rsidP="004A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EF" w:rsidRDefault="00094BEF">
    <w:pPr>
      <w:pStyle w:val="Header"/>
      <w:jc w:val="center"/>
    </w:pPr>
  </w:p>
  <w:p w:rsidR="00094BEF" w:rsidRDefault="00094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35829"/>
      <w:docPartObj>
        <w:docPartGallery w:val="Page Numbers (Top of Page)"/>
        <w:docPartUnique/>
      </w:docPartObj>
    </w:sdtPr>
    <w:sdtEndPr/>
    <w:sdtContent>
      <w:p w:rsidR="0095577B" w:rsidRDefault="00A01D41">
        <w:pPr>
          <w:pStyle w:val="Header"/>
          <w:jc w:val="center"/>
        </w:pPr>
        <w:r>
          <w:fldChar w:fldCharType="begin"/>
        </w:r>
        <w:r w:rsidR="0095577B">
          <w:instrText xml:space="preserve"> PAGE   \* MERGEFORMAT </w:instrText>
        </w:r>
        <w:r>
          <w:fldChar w:fldCharType="separate"/>
        </w:r>
        <w:r w:rsidR="007E74A8">
          <w:rPr>
            <w:noProof/>
          </w:rPr>
          <w:t>2</w:t>
        </w:r>
        <w:r>
          <w:fldChar w:fldCharType="end"/>
        </w:r>
      </w:p>
    </w:sdtContent>
  </w:sdt>
  <w:p w:rsidR="0095577B" w:rsidRDefault="00955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EF" w:rsidRDefault="00A01D41">
    <w:pPr>
      <w:pStyle w:val="Header"/>
      <w:jc w:val="center"/>
    </w:pPr>
    <w:r w:rsidRPr="00AB5FEC">
      <w:rPr>
        <w:sz w:val="26"/>
        <w:szCs w:val="26"/>
      </w:rPr>
      <w:fldChar w:fldCharType="begin"/>
    </w:r>
    <w:r w:rsidR="00AB5FEC" w:rsidRPr="00AB5FEC">
      <w:rPr>
        <w:sz w:val="26"/>
        <w:szCs w:val="26"/>
      </w:rPr>
      <w:instrText xml:space="preserve"> PAGE   \* MERGEFORMAT </w:instrText>
    </w:r>
    <w:r w:rsidRPr="00AB5FEC">
      <w:rPr>
        <w:sz w:val="26"/>
        <w:szCs w:val="26"/>
      </w:rPr>
      <w:fldChar w:fldCharType="separate"/>
    </w:r>
    <w:r w:rsidR="00EF036B">
      <w:rPr>
        <w:noProof/>
        <w:sz w:val="26"/>
        <w:szCs w:val="26"/>
      </w:rPr>
      <w:t>5</w:t>
    </w:r>
    <w:r w:rsidRPr="00AB5FEC">
      <w:rPr>
        <w:sz w:val="26"/>
        <w:szCs w:val="26"/>
      </w:rPr>
      <w:fldChar w:fldCharType="end"/>
    </w:r>
  </w:p>
  <w:p w:rsidR="00094BEF" w:rsidRDefault="0009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4025"/>
    <w:multiLevelType w:val="hybridMultilevel"/>
    <w:tmpl w:val="3814AE4E"/>
    <w:lvl w:ilvl="0" w:tplc="66683A5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A6"/>
    <w:rsid w:val="00013FCD"/>
    <w:rsid w:val="00024591"/>
    <w:rsid w:val="00024AB0"/>
    <w:rsid w:val="00024D1E"/>
    <w:rsid w:val="00026229"/>
    <w:rsid w:val="000271E5"/>
    <w:rsid w:val="00035ACD"/>
    <w:rsid w:val="00035FAC"/>
    <w:rsid w:val="00041591"/>
    <w:rsid w:val="00044E18"/>
    <w:rsid w:val="000515CC"/>
    <w:rsid w:val="00052A83"/>
    <w:rsid w:val="0005638F"/>
    <w:rsid w:val="00061AB6"/>
    <w:rsid w:val="00066AE2"/>
    <w:rsid w:val="000718B5"/>
    <w:rsid w:val="00080F0A"/>
    <w:rsid w:val="0008483C"/>
    <w:rsid w:val="0009356D"/>
    <w:rsid w:val="00094BEF"/>
    <w:rsid w:val="000A2C25"/>
    <w:rsid w:val="000A7A15"/>
    <w:rsid w:val="000B2D40"/>
    <w:rsid w:val="000B7924"/>
    <w:rsid w:val="000B7E31"/>
    <w:rsid w:val="000C2974"/>
    <w:rsid w:val="000C388B"/>
    <w:rsid w:val="000C4484"/>
    <w:rsid w:val="000C4974"/>
    <w:rsid w:val="000C7552"/>
    <w:rsid w:val="000D079E"/>
    <w:rsid w:val="000D170F"/>
    <w:rsid w:val="000E009B"/>
    <w:rsid w:val="000E5F2B"/>
    <w:rsid w:val="000F062E"/>
    <w:rsid w:val="000F09F2"/>
    <w:rsid w:val="000F2C39"/>
    <w:rsid w:val="000F4BB3"/>
    <w:rsid w:val="00102644"/>
    <w:rsid w:val="00105B8A"/>
    <w:rsid w:val="00111A30"/>
    <w:rsid w:val="001230B8"/>
    <w:rsid w:val="00125242"/>
    <w:rsid w:val="001304F9"/>
    <w:rsid w:val="00130F12"/>
    <w:rsid w:val="00141C81"/>
    <w:rsid w:val="00142534"/>
    <w:rsid w:val="00142D94"/>
    <w:rsid w:val="001638AA"/>
    <w:rsid w:val="0016556E"/>
    <w:rsid w:val="00173658"/>
    <w:rsid w:val="00180B38"/>
    <w:rsid w:val="00193484"/>
    <w:rsid w:val="001A1928"/>
    <w:rsid w:val="001A1E68"/>
    <w:rsid w:val="001C2A73"/>
    <w:rsid w:val="001D0C03"/>
    <w:rsid w:val="001D3141"/>
    <w:rsid w:val="001E5C75"/>
    <w:rsid w:val="001F65C3"/>
    <w:rsid w:val="00200227"/>
    <w:rsid w:val="00205792"/>
    <w:rsid w:val="00206E36"/>
    <w:rsid w:val="002075B8"/>
    <w:rsid w:val="00212411"/>
    <w:rsid w:val="00213147"/>
    <w:rsid w:val="00217361"/>
    <w:rsid w:val="00224556"/>
    <w:rsid w:val="00224589"/>
    <w:rsid w:val="002272EC"/>
    <w:rsid w:val="00233FFC"/>
    <w:rsid w:val="002340A9"/>
    <w:rsid w:val="0024487C"/>
    <w:rsid w:val="00251594"/>
    <w:rsid w:val="0025241E"/>
    <w:rsid w:val="002561B5"/>
    <w:rsid w:val="0026362E"/>
    <w:rsid w:val="00264699"/>
    <w:rsid w:val="002703F1"/>
    <w:rsid w:val="0027495D"/>
    <w:rsid w:val="002805F0"/>
    <w:rsid w:val="002825DA"/>
    <w:rsid w:val="00297055"/>
    <w:rsid w:val="002A0474"/>
    <w:rsid w:val="002A0657"/>
    <w:rsid w:val="002A4409"/>
    <w:rsid w:val="002A6AC3"/>
    <w:rsid w:val="002D23A7"/>
    <w:rsid w:val="002E0256"/>
    <w:rsid w:val="002F288D"/>
    <w:rsid w:val="002F3ECB"/>
    <w:rsid w:val="0030555F"/>
    <w:rsid w:val="0032088F"/>
    <w:rsid w:val="003242E1"/>
    <w:rsid w:val="0032473C"/>
    <w:rsid w:val="00325C67"/>
    <w:rsid w:val="00326707"/>
    <w:rsid w:val="003414A0"/>
    <w:rsid w:val="003447BE"/>
    <w:rsid w:val="00346C00"/>
    <w:rsid w:val="0035325D"/>
    <w:rsid w:val="00377383"/>
    <w:rsid w:val="003821B3"/>
    <w:rsid w:val="003830BF"/>
    <w:rsid w:val="0038404B"/>
    <w:rsid w:val="003A4ED2"/>
    <w:rsid w:val="003A78A2"/>
    <w:rsid w:val="003B51F9"/>
    <w:rsid w:val="003C77EE"/>
    <w:rsid w:val="003D0B8E"/>
    <w:rsid w:val="003D779A"/>
    <w:rsid w:val="003E2313"/>
    <w:rsid w:val="003F03CB"/>
    <w:rsid w:val="003F0F39"/>
    <w:rsid w:val="00410503"/>
    <w:rsid w:val="00413C38"/>
    <w:rsid w:val="0041465D"/>
    <w:rsid w:val="00415DEF"/>
    <w:rsid w:val="00431546"/>
    <w:rsid w:val="004572D0"/>
    <w:rsid w:val="00460915"/>
    <w:rsid w:val="00461B6E"/>
    <w:rsid w:val="004804A0"/>
    <w:rsid w:val="00483B5C"/>
    <w:rsid w:val="00487F64"/>
    <w:rsid w:val="00490B64"/>
    <w:rsid w:val="00494035"/>
    <w:rsid w:val="004953F5"/>
    <w:rsid w:val="004A4E05"/>
    <w:rsid w:val="004A508B"/>
    <w:rsid w:val="004A71AB"/>
    <w:rsid w:val="004B075C"/>
    <w:rsid w:val="004B37DA"/>
    <w:rsid w:val="004B62F6"/>
    <w:rsid w:val="004D07BC"/>
    <w:rsid w:val="004D56DD"/>
    <w:rsid w:val="004D794A"/>
    <w:rsid w:val="004E602B"/>
    <w:rsid w:val="00500664"/>
    <w:rsid w:val="00507216"/>
    <w:rsid w:val="0051069F"/>
    <w:rsid w:val="00512740"/>
    <w:rsid w:val="00513662"/>
    <w:rsid w:val="00513E1A"/>
    <w:rsid w:val="00513FC1"/>
    <w:rsid w:val="0051428F"/>
    <w:rsid w:val="0051532E"/>
    <w:rsid w:val="005175C6"/>
    <w:rsid w:val="00521AB6"/>
    <w:rsid w:val="00523403"/>
    <w:rsid w:val="00530D55"/>
    <w:rsid w:val="00541D74"/>
    <w:rsid w:val="005430C0"/>
    <w:rsid w:val="00551611"/>
    <w:rsid w:val="00554CE9"/>
    <w:rsid w:val="00557251"/>
    <w:rsid w:val="005638CE"/>
    <w:rsid w:val="00582E5F"/>
    <w:rsid w:val="005843BC"/>
    <w:rsid w:val="00590937"/>
    <w:rsid w:val="005A0313"/>
    <w:rsid w:val="005A47A6"/>
    <w:rsid w:val="005A5BF1"/>
    <w:rsid w:val="005A64C1"/>
    <w:rsid w:val="005C4AD6"/>
    <w:rsid w:val="005D2B15"/>
    <w:rsid w:val="005D7C8F"/>
    <w:rsid w:val="005F13D9"/>
    <w:rsid w:val="00613D88"/>
    <w:rsid w:val="00614A69"/>
    <w:rsid w:val="00615A68"/>
    <w:rsid w:val="00617D02"/>
    <w:rsid w:val="00625716"/>
    <w:rsid w:val="00626B7A"/>
    <w:rsid w:val="00636677"/>
    <w:rsid w:val="006371C9"/>
    <w:rsid w:val="0064751E"/>
    <w:rsid w:val="00651C79"/>
    <w:rsid w:val="00660D9B"/>
    <w:rsid w:val="00665047"/>
    <w:rsid w:val="00670279"/>
    <w:rsid w:val="00673009"/>
    <w:rsid w:val="0068159C"/>
    <w:rsid w:val="00682314"/>
    <w:rsid w:val="00683EEA"/>
    <w:rsid w:val="006867F4"/>
    <w:rsid w:val="0069076C"/>
    <w:rsid w:val="00693D1C"/>
    <w:rsid w:val="006B0967"/>
    <w:rsid w:val="006B76A8"/>
    <w:rsid w:val="006C2053"/>
    <w:rsid w:val="006C5F11"/>
    <w:rsid w:val="006D01DC"/>
    <w:rsid w:val="006F07D7"/>
    <w:rsid w:val="006F33F0"/>
    <w:rsid w:val="00705530"/>
    <w:rsid w:val="00713B4B"/>
    <w:rsid w:val="00723569"/>
    <w:rsid w:val="00731DBE"/>
    <w:rsid w:val="0076056A"/>
    <w:rsid w:val="00771D94"/>
    <w:rsid w:val="007808EF"/>
    <w:rsid w:val="007873AB"/>
    <w:rsid w:val="007900C6"/>
    <w:rsid w:val="00792AB6"/>
    <w:rsid w:val="0079457C"/>
    <w:rsid w:val="007B0A89"/>
    <w:rsid w:val="007B28AB"/>
    <w:rsid w:val="007B39AE"/>
    <w:rsid w:val="007B69B6"/>
    <w:rsid w:val="007B7B58"/>
    <w:rsid w:val="007C5874"/>
    <w:rsid w:val="007E535E"/>
    <w:rsid w:val="007E74A8"/>
    <w:rsid w:val="007E7EED"/>
    <w:rsid w:val="007F081C"/>
    <w:rsid w:val="00805135"/>
    <w:rsid w:val="00811145"/>
    <w:rsid w:val="008160BA"/>
    <w:rsid w:val="00825F23"/>
    <w:rsid w:val="00830696"/>
    <w:rsid w:val="0085395A"/>
    <w:rsid w:val="00865B67"/>
    <w:rsid w:val="008672EF"/>
    <w:rsid w:val="00870D98"/>
    <w:rsid w:val="008746A3"/>
    <w:rsid w:val="00874B85"/>
    <w:rsid w:val="0087769F"/>
    <w:rsid w:val="00880F6D"/>
    <w:rsid w:val="008812BB"/>
    <w:rsid w:val="00885E06"/>
    <w:rsid w:val="008936FC"/>
    <w:rsid w:val="00897EF0"/>
    <w:rsid w:val="008A3926"/>
    <w:rsid w:val="008B2370"/>
    <w:rsid w:val="008B7142"/>
    <w:rsid w:val="008C1F06"/>
    <w:rsid w:val="008D5727"/>
    <w:rsid w:val="008D7D61"/>
    <w:rsid w:val="008F0147"/>
    <w:rsid w:val="00907F04"/>
    <w:rsid w:val="00920951"/>
    <w:rsid w:val="009242F9"/>
    <w:rsid w:val="0092471B"/>
    <w:rsid w:val="00931C33"/>
    <w:rsid w:val="0095577B"/>
    <w:rsid w:val="00955B2E"/>
    <w:rsid w:val="0096235A"/>
    <w:rsid w:val="009702BC"/>
    <w:rsid w:val="009707D0"/>
    <w:rsid w:val="00975B81"/>
    <w:rsid w:val="00976EF2"/>
    <w:rsid w:val="00983CF3"/>
    <w:rsid w:val="0099239B"/>
    <w:rsid w:val="009B7BBD"/>
    <w:rsid w:val="009C0106"/>
    <w:rsid w:val="009C3E13"/>
    <w:rsid w:val="009C65B8"/>
    <w:rsid w:val="009C6EB2"/>
    <w:rsid w:val="009D4807"/>
    <w:rsid w:val="009D4874"/>
    <w:rsid w:val="009D602E"/>
    <w:rsid w:val="009D75D3"/>
    <w:rsid w:val="009F1357"/>
    <w:rsid w:val="00A01D41"/>
    <w:rsid w:val="00A02386"/>
    <w:rsid w:val="00A11E52"/>
    <w:rsid w:val="00A134E3"/>
    <w:rsid w:val="00A20164"/>
    <w:rsid w:val="00A27B9B"/>
    <w:rsid w:val="00A416EE"/>
    <w:rsid w:val="00A47347"/>
    <w:rsid w:val="00A50790"/>
    <w:rsid w:val="00A5524F"/>
    <w:rsid w:val="00A61B96"/>
    <w:rsid w:val="00A63BD5"/>
    <w:rsid w:val="00A64557"/>
    <w:rsid w:val="00A6586F"/>
    <w:rsid w:val="00A71C5F"/>
    <w:rsid w:val="00A75079"/>
    <w:rsid w:val="00A75346"/>
    <w:rsid w:val="00A827C8"/>
    <w:rsid w:val="00A87B08"/>
    <w:rsid w:val="00AA2DB8"/>
    <w:rsid w:val="00AA2E59"/>
    <w:rsid w:val="00AA2ED5"/>
    <w:rsid w:val="00AB06BF"/>
    <w:rsid w:val="00AB5FEC"/>
    <w:rsid w:val="00AF7890"/>
    <w:rsid w:val="00AF7FD6"/>
    <w:rsid w:val="00B12336"/>
    <w:rsid w:val="00B17616"/>
    <w:rsid w:val="00B24D60"/>
    <w:rsid w:val="00B345CE"/>
    <w:rsid w:val="00B45500"/>
    <w:rsid w:val="00B50ADA"/>
    <w:rsid w:val="00B51625"/>
    <w:rsid w:val="00B65CE4"/>
    <w:rsid w:val="00BB7389"/>
    <w:rsid w:val="00BC12BF"/>
    <w:rsid w:val="00BC5416"/>
    <w:rsid w:val="00BD0311"/>
    <w:rsid w:val="00BD44C2"/>
    <w:rsid w:val="00BE2184"/>
    <w:rsid w:val="00BE3CE8"/>
    <w:rsid w:val="00C04746"/>
    <w:rsid w:val="00C113C7"/>
    <w:rsid w:val="00C11AE9"/>
    <w:rsid w:val="00C15A99"/>
    <w:rsid w:val="00C421BE"/>
    <w:rsid w:val="00C5671B"/>
    <w:rsid w:val="00C60C0A"/>
    <w:rsid w:val="00C74D11"/>
    <w:rsid w:val="00C76895"/>
    <w:rsid w:val="00C84CC8"/>
    <w:rsid w:val="00C93AE4"/>
    <w:rsid w:val="00CA5CAC"/>
    <w:rsid w:val="00CB1166"/>
    <w:rsid w:val="00CC4947"/>
    <w:rsid w:val="00CD013C"/>
    <w:rsid w:val="00CD018C"/>
    <w:rsid w:val="00CD0575"/>
    <w:rsid w:val="00CD25D8"/>
    <w:rsid w:val="00CD3C28"/>
    <w:rsid w:val="00CD5265"/>
    <w:rsid w:val="00D0552C"/>
    <w:rsid w:val="00D10760"/>
    <w:rsid w:val="00D12176"/>
    <w:rsid w:val="00D14190"/>
    <w:rsid w:val="00D27B77"/>
    <w:rsid w:val="00D43A3C"/>
    <w:rsid w:val="00D4447B"/>
    <w:rsid w:val="00D47645"/>
    <w:rsid w:val="00D5514D"/>
    <w:rsid w:val="00D765A6"/>
    <w:rsid w:val="00D815E4"/>
    <w:rsid w:val="00D87EBE"/>
    <w:rsid w:val="00D925C1"/>
    <w:rsid w:val="00D92CEB"/>
    <w:rsid w:val="00D9413C"/>
    <w:rsid w:val="00DA7498"/>
    <w:rsid w:val="00DB3FE7"/>
    <w:rsid w:val="00DB51D3"/>
    <w:rsid w:val="00DC47FD"/>
    <w:rsid w:val="00DC5306"/>
    <w:rsid w:val="00DD2874"/>
    <w:rsid w:val="00DD3BBD"/>
    <w:rsid w:val="00DD3D71"/>
    <w:rsid w:val="00DD4E92"/>
    <w:rsid w:val="00DE0EAD"/>
    <w:rsid w:val="00DE1523"/>
    <w:rsid w:val="00DE2EA6"/>
    <w:rsid w:val="00DE37E6"/>
    <w:rsid w:val="00DF141E"/>
    <w:rsid w:val="00E131C6"/>
    <w:rsid w:val="00E14FD2"/>
    <w:rsid w:val="00E259DC"/>
    <w:rsid w:val="00E26E87"/>
    <w:rsid w:val="00E3383D"/>
    <w:rsid w:val="00E3401B"/>
    <w:rsid w:val="00E37227"/>
    <w:rsid w:val="00E41F09"/>
    <w:rsid w:val="00E5223A"/>
    <w:rsid w:val="00E52E2F"/>
    <w:rsid w:val="00E55FB9"/>
    <w:rsid w:val="00E7581A"/>
    <w:rsid w:val="00E8714F"/>
    <w:rsid w:val="00E92B71"/>
    <w:rsid w:val="00E92BFA"/>
    <w:rsid w:val="00EA235B"/>
    <w:rsid w:val="00EA29F2"/>
    <w:rsid w:val="00EA3BBB"/>
    <w:rsid w:val="00EA4731"/>
    <w:rsid w:val="00EA700F"/>
    <w:rsid w:val="00EC2E52"/>
    <w:rsid w:val="00EC3A23"/>
    <w:rsid w:val="00ED168A"/>
    <w:rsid w:val="00ED4113"/>
    <w:rsid w:val="00EE248A"/>
    <w:rsid w:val="00EF036B"/>
    <w:rsid w:val="00EF3CC4"/>
    <w:rsid w:val="00EF46F7"/>
    <w:rsid w:val="00F06901"/>
    <w:rsid w:val="00F06D43"/>
    <w:rsid w:val="00F174E2"/>
    <w:rsid w:val="00F20DBF"/>
    <w:rsid w:val="00F21658"/>
    <w:rsid w:val="00F2493F"/>
    <w:rsid w:val="00F46F25"/>
    <w:rsid w:val="00F551CD"/>
    <w:rsid w:val="00F71827"/>
    <w:rsid w:val="00F76D6E"/>
    <w:rsid w:val="00F9411C"/>
    <w:rsid w:val="00F942F5"/>
    <w:rsid w:val="00F94FC2"/>
    <w:rsid w:val="00F96FBD"/>
    <w:rsid w:val="00FA1E68"/>
    <w:rsid w:val="00FA37FD"/>
    <w:rsid w:val="00FB3C8F"/>
    <w:rsid w:val="00FB516E"/>
    <w:rsid w:val="00FC7F2A"/>
    <w:rsid w:val="00FD0A91"/>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51E76-7C83-40DE-8AC6-6EEB0D64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A6"/>
    <w:pPr>
      <w:spacing w:after="0" w:line="240" w:lineRule="auto"/>
    </w:pPr>
    <w:rPr>
      <w:rFonts w:eastAsia="Arial" w:cs="Times New Roman"/>
      <w:szCs w:val="28"/>
    </w:rPr>
  </w:style>
  <w:style w:type="paragraph" w:styleId="Heading1">
    <w:name w:val="heading 1"/>
    <w:basedOn w:val="Normal"/>
    <w:next w:val="Normal"/>
    <w:link w:val="Heading1Char"/>
    <w:qFormat/>
    <w:rsid w:val="005A47A6"/>
    <w:pPr>
      <w:keepNext/>
      <w:jc w:val="center"/>
      <w:outlineLvl w:val="0"/>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7A6"/>
    <w:rPr>
      <w:rFonts w:ascii=".VnTimeH" w:eastAsia="Times New Roman" w:hAnsi=".VnTimeH" w:cs="Times New Roman"/>
      <w:b/>
      <w:sz w:val="24"/>
      <w:szCs w:val="20"/>
    </w:rPr>
  </w:style>
  <w:style w:type="paragraph" w:styleId="NormalWeb">
    <w:name w:val="Normal (Web)"/>
    <w:basedOn w:val="Normal"/>
    <w:uiPriority w:val="99"/>
    <w:rsid w:val="005A47A6"/>
    <w:pPr>
      <w:spacing w:before="100" w:beforeAutospacing="1" w:after="100" w:afterAutospacing="1"/>
    </w:pPr>
    <w:rPr>
      <w:sz w:val="24"/>
      <w:szCs w:val="24"/>
    </w:rPr>
  </w:style>
  <w:style w:type="paragraph" w:customStyle="1" w:styleId="Than">
    <w:name w:val="Than"/>
    <w:basedOn w:val="Normal"/>
    <w:rsid w:val="005A47A6"/>
    <w:pPr>
      <w:autoSpaceDE w:val="0"/>
      <w:autoSpaceDN w:val="0"/>
      <w:spacing w:before="120"/>
      <w:ind w:firstLine="567"/>
      <w:jc w:val="both"/>
    </w:pPr>
    <w:rPr>
      <w:rFonts w:ascii="PdTime" w:eastAsia="Times New Roman" w:hAnsi="PdTime"/>
      <w:sz w:val="20"/>
      <w:szCs w:val="24"/>
      <w:lang w:val="en-GB"/>
    </w:rPr>
  </w:style>
  <w:style w:type="paragraph" w:customStyle="1" w:styleId="Tieudephu">
    <w:name w:val="Tieu de phu"/>
    <w:basedOn w:val="Normal"/>
    <w:rsid w:val="005A47A6"/>
    <w:pPr>
      <w:autoSpaceDE w:val="0"/>
      <w:autoSpaceDN w:val="0"/>
      <w:spacing w:after="120"/>
      <w:jc w:val="center"/>
    </w:pPr>
    <w:rPr>
      <w:rFonts w:ascii="PdTime" w:eastAsia="Times New Roman" w:hAnsi="PdTime"/>
      <w:b/>
      <w:bCs/>
      <w:color w:val="000000"/>
      <w:spacing w:val="4"/>
      <w:sz w:val="26"/>
      <w:szCs w:val="26"/>
      <w:lang w:val="en-GB"/>
    </w:rPr>
  </w:style>
  <w:style w:type="paragraph" w:styleId="BodyText">
    <w:name w:val="Body Text"/>
    <w:basedOn w:val="Normal"/>
    <w:link w:val="BodyTextChar"/>
    <w:rsid w:val="005A47A6"/>
    <w:pPr>
      <w:widowControl w:val="0"/>
      <w:jc w:val="both"/>
    </w:pPr>
    <w:rPr>
      <w:rFonts w:ascii=".VnTime" w:eastAsia="Times New Roman" w:hAnsi=".VnTime"/>
      <w:szCs w:val="20"/>
    </w:rPr>
  </w:style>
  <w:style w:type="character" w:customStyle="1" w:styleId="BodyTextChar">
    <w:name w:val="Body Text Char"/>
    <w:basedOn w:val="DefaultParagraphFont"/>
    <w:link w:val="BodyText"/>
    <w:rsid w:val="005A47A6"/>
    <w:rPr>
      <w:rFonts w:ascii=".VnTime" w:eastAsia="Times New Roman" w:hAnsi=".VnTime" w:cs="Times New Roman"/>
      <w:szCs w:val="20"/>
    </w:rPr>
  </w:style>
  <w:style w:type="paragraph" w:styleId="Footer">
    <w:name w:val="footer"/>
    <w:basedOn w:val="Normal"/>
    <w:link w:val="FooterChar"/>
    <w:rsid w:val="005A47A6"/>
    <w:pPr>
      <w:tabs>
        <w:tab w:val="center" w:pos="4320"/>
        <w:tab w:val="right" w:pos="8640"/>
      </w:tabs>
    </w:pPr>
  </w:style>
  <w:style w:type="character" w:customStyle="1" w:styleId="FooterChar">
    <w:name w:val="Footer Char"/>
    <w:basedOn w:val="DefaultParagraphFont"/>
    <w:link w:val="Footer"/>
    <w:rsid w:val="005A47A6"/>
    <w:rPr>
      <w:rFonts w:eastAsia="Arial" w:cs="Times New Roman"/>
      <w:szCs w:val="28"/>
    </w:rPr>
  </w:style>
  <w:style w:type="character" w:styleId="PageNumber">
    <w:name w:val="page number"/>
    <w:basedOn w:val="DefaultParagraphFont"/>
    <w:rsid w:val="005A47A6"/>
  </w:style>
  <w:style w:type="paragraph" w:styleId="Header">
    <w:name w:val="header"/>
    <w:basedOn w:val="Normal"/>
    <w:link w:val="HeaderChar"/>
    <w:uiPriority w:val="99"/>
    <w:unhideWhenUsed/>
    <w:rsid w:val="001A1928"/>
    <w:pPr>
      <w:tabs>
        <w:tab w:val="center" w:pos="4680"/>
        <w:tab w:val="right" w:pos="9360"/>
      </w:tabs>
    </w:pPr>
  </w:style>
  <w:style w:type="character" w:customStyle="1" w:styleId="HeaderChar">
    <w:name w:val="Header Char"/>
    <w:basedOn w:val="DefaultParagraphFont"/>
    <w:link w:val="Header"/>
    <w:uiPriority w:val="99"/>
    <w:rsid w:val="001A1928"/>
    <w:rPr>
      <w:rFonts w:eastAsia="Arial" w:cs="Times New Roman"/>
      <w:szCs w:val="28"/>
    </w:rPr>
  </w:style>
  <w:style w:type="character" w:styleId="CommentReference">
    <w:name w:val="annotation reference"/>
    <w:basedOn w:val="DefaultParagraphFont"/>
    <w:uiPriority w:val="99"/>
    <w:semiHidden/>
    <w:unhideWhenUsed/>
    <w:rsid w:val="007B0A89"/>
    <w:rPr>
      <w:sz w:val="16"/>
      <w:szCs w:val="16"/>
    </w:rPr>
  </w:style>
  <w:style w:type="paragraph" w:styleId="CommentText">
    <w:name w:val="annotation text"/>
    <w:basedOn w:val="Normal"/>
    <w:link w:val="CommentTextChar"/>
    <w:uiPriority w:val="99"/>
    <w:semiHidden/>
    <w:unhideWhenUsed/>
    <w:rsid w:val="007B0A89"/>
    <w:rPr>
      <w:sz w:val="20"/>
      <w:szCs w:val="20"/>
    </w:rPr>
  </w:style>
  <w:style w:type="character" w:customStyle="1" w:styleId="CommentTextChar">
    <w:name w:val="Comment Text Char"/>
    <w:basedOn w:val="DefaultParagraphFont"/>
    <w:link w:val="CommentText"/>
    <w:uiPriority w:val="99"/>
    <w:semiHidden/>
    <w:rsid w:val="007B0A89"/>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7B0A89"/>
    <w:rPr>
      <w:b/>
      <w:bCs/>
    </w:rPr>
  </w:style>
  <w:style w:type="character" w:customStyle="1" w:styleId="CommentSubjectChar">
    <w:name w:val="Comment Subject Char"/>
    <w:basedOn w:val="CommentTextChar"/>
    <w:link w:val="CommentSubject"/>
    <w:uiPriority w:val="99"/>
    <w:semiHidden/>
    <w:rsid w:val="007B0A89"/>
    <w:rPr>
      <w:rFonts w:eastAsia="Arial" w:cs="Times New Roman"/>
      <w:b/>
      <w:bCs/>
      <w:sz w:val="20"/>
      <w:szCs w:val="20"/>
    </w:rPr>
  </w:style>
  <w:style w:type="paragraph" w:styleId="BalloonText">
    <w:name w:val="Balloon Text"/>
    <w:basedOn w:val="Normal"/>
    <w:link w:val="BalloonTextChar"/>
    <w:uiPriority w:val="99"/>
    <w:semiHidden/>
    <w:unhideWhenUsed/>
    <w:rsid w:val="007B0A89"/>
    <w:rPr>
      <w:rFonts w:ascii="Tahoma" w:hAnsi="Tahoma" w:cs="Tahoma"/>
      <w:sz w:val="16"/>
      <w:szCs w:val="16"/>
    </w:rPr>
  </w:style>
  <w:style w:type="character" w:customStyle="1" w:styleId="BalloonTextChar">
    <w:name w:val="Balloon Text Char"/>
    <w:basedOn w:val="DefaultParagraphFont"/>
    <w:link w:val="BalloonText"/>
    <w:uiPriority w:val="99"/>
    <w:semiHidden/>
    <w:rsid w:val="007B0A89"/>
    <w:rPr>
      <w:rFonts w:ascii="Tahoma" w:eastAsia="Arial" w:hAnsi="Tahoma" w:cs="Tahoma"/>
      <w:sz w:val="16"/>
      <w:szCs w:val="16"/>
    </w:rPr>
  </w:style>
  <w:style w:type="paragraph" w:styleId="ListParagraph">
    <w:name w:val="List Paragraph"/>
    <w:basedOn w:val="Normal"/>
    <w:uiPriority w:val="34"/>
    <w:qFormat/>
    <w:rsid w:val="0069076C"/>
    <w:pPr>
      <w:ind w:left="720"/>
      <w:contextualSpacing/>
    </w:pPr>
  </w:style>
  <w:style w:type="paragraph" w:styleId="FootnoteText">
    <w:name w:val="footnote text"/>
    <w:basedOn w:val="Normal"/>
    <w:link w:val="FootnoteTextChar"/>
    <w:uiPriority w:val="99"/>
    <w:semiHidden/>
    <w:unhideWhenUsed/>
    <w:rsid w:val="00617D02"/>
    <w:rPr>
      <w:sz w:val="20"/>
      <w:szCs w:val="20"/>
    </w:rPr>
  </w:style>
  <w:style w:type="character" w:customStyle="1" w:styleId="FootnoteTextChar">
    <w:name w:val="Footnote Text Char"/>
    <w:basedOn w:val="DefaultParagraphFont"/>
    <w:link w:val="FootnoteText"/>
    <w:uiPriority w:val="99"/>
    <w:semiHidden/>
    <w:rsid w:val="00617D02"/>
    <w:rPr>
      <w:rFonts w:eastAsia="Arial" w:cs="Times New Roman"/>
      <w:sz w:val="20"/>
      <w:szCs w:val="20"/>
    </w:rPr>
  </w:style>
  <w:style w:type="character" w:styleId="FootnoteReference">
    <w:name w:val="footnote reference"/>
    <w:basedOn w:val="DefaultParagraphFont"/>
    <w:uiPriority w:val="99"/>
    <w:semiHidden/>
    <w:unhideWhenUsed/>
    <w:rsid w:val="00617D02"/>
    <w:rPr>
      <w:vertAlign w:val="superscript"/>
    </w:rPr>
  </w:style>
  <w:style w:type="table" w:styleId="TableGrid">
    <w:name w:val="Table Grid"/>
    <w:basedOn w:val="TableNormal"/>
    <w:uiPriority w:val="59"/>
    <w:rsid w:val="00693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24C1A-ECC0-437B-93E0-D2DE43A324CD}"/>
</file>

<file path=customXml/itemProps2.xml><?xml version="1.0" encoding="utf-8"?>
<ds:datastoreItem xmlns:ds="http://schemas.openxmlformats.org/officeDocument/2006/customXml" ds:itemID="{D41EA2C0-92D1-4E1E-9BB8-5B1D66E59C27}"/>
</file>

<file path=customXml/itemProps3.xml><?xml version="1.0" encoding="utf-8"?>
<ds:datastoreItem xmlns:ds="http://schemas.openxmlformats.org/officeDocument/2006/customXml" ds:itemID="{F503E196-47F7-4B2E-A846-1690BC4828DA}"/>
</file>

<file path=customXml/itemProps4.xml><?xml version="1.0" encoding="utf-8"?>
<ds:datastoreItem xmlns:ds="http://schemas.openxmlformats.org/officeDocument/2006/customXml" ds:itemID="{F287568B-8026-4912-97A8-0370D0FA244A}"/>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Huong</dc:creator>
  <cp:lastModifiedBy>Vu Quoc Thanh (PC)</cp:lastModifiedBy>
  <cp:revision>2</cp:revision>
  <cp:lastPrinted>2018-02-02T02:32:00Z</cp:lastPrinted>
  <dcterms:created xsi:type="dcterms:W3CDTF">2018-02-05T02:51:00Z</dcterms:created>
  <dcterms:modified xsi:type="dcterms:W3CDTF">2018-02-05T02:51:00Z</dcterms:modified>
</cp:coreProperties>
</file>